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БЩЕСТВО С ОГРАНИЧЕННОЙ ОТВЕТСТВЕННОСТЬЮ</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«АВАНГАРД-ПРОЕКТ»</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b/>
          <w:bCs/>
          <w:color w:val="000000"/>
          <w:sz w:val="18"/>
          <w:szCs w:val="18"/>
          <w:lang w:eastAsia="ru-RU"/>
        </w:rPr>
        <w:t>Муниципальный контракт:</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b/>
          <w:bCs/>
          <w:color w:val="000000"/>
          <w:sz w:val="18"/>
          <w:szCs w:val="18"/>
          <w:lang w:eastAsia="ru-RU"/>
        </w:rPr>
        <w:t>Заказчик:</w:t>
      </w:r>
      <w:r w:rsidRPr="007B1756">
        <w:rPr>
          <w:rFonts w:ascii="Arial" w:eastAsia="Times New Roman" w:hAnsi="Arial" w:cs="Arial"/>
          <w:color w:val="000000"/>
          <w:sz w:val="18"/>
          <w:szCs w:val="18"/>
          <w:lang w:eastAsia="ru-RU"/>
        </w:rPr>
        <w:t> администрация городского поселения</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Белореченского муниципального образования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bookmarkStart w:id="0" w:name="_GoBack"/>
      <w:r w:rsidRPr="007B1756">
        <w:rPr>
          <w:rFonts w:ascii="Arial" w:eastAsia="Times New Roman" w:hAnsi="Arial" w:cs="Arial"/>
          <w:color w:val="000000"/>
          <w:sz w:val="18"/>
          <w:szCs w:val="18"/>
          <w:lang w:eastAsia="ru-RU"/>
        </w:rPr>
        <w:t>Проект</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местных нормативов градостроительного проектирования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городского поселения Белореченского муниципального образования</w:t>
      </w:r>
      <w:bookmarkEnd w:id="0"/>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3C6F"/>
          <w:sz w:val="18"/>
          <w:szCs w:val="18"/>
          <w:lang w:eastAsia="ru-RU"/>
        </w:rPr>
        <w:drawing>
          <wp:inline distT="0" distB="0" distL="0" distR="0" wp14:anchorId="4A8C9579" wp14:editId="0E4F2F02">
            <wp:extent cx="2857500" cy="914400"/>
            <wp:effectExtent l="0" t="0" r="0" b="0"/>
            <wp:docPr id="1" name="Рисунок 1" descr="панорама">
              <a:hlinkClick xmlns:a="http://schemas.openxmlformats.org/drawingml/2006/main" r:id="rId5" tooltip="&quot;панора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орама">
                      <a:hlinkClick r:id="rId5" tooltip="&quot;панорам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Генеральный директор                                   С.М. Пазыныч</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Братск 2014</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УТВЕРЖДЕНЫ       </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решением Думы      </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от               №      </w:t>
      </w:r>
    </w:p>
    <w:p w:rsidR="007B1756" w:rsidRPr="007B1756" w:rsidRDefault="007B1756" w:rsidP="007B1756">
      <w:pPr>
        <w:spacing w:after="0" w:line="240" w:lineRule="auto"/>
        <w:jc w:val="right"/>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Нормативы градостроительного проектирования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Нормативы градостроительного проектирования Белореченского муниципального образования включают в себя: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правила и область применения расчетных показателей, содержащихся в основной части нормативов градостроительного проектирования;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2) основную часть, содержащую расчетные показатели минимально допустимого уровня обеспеченности объектами местного значения Белореченского муниципального образования,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города;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материалы по обоснованию расчетных показателей, содержащихся в основной части нормативов градостроительного проектирования.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Правила и область применения расчетных показателей</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минимально допустимого уровня обеспеченности объектами местного значения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Белореченского муниципального образования, объектами благоустройства</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территории и расчетных показателей максимально допустимого уровня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территориальной доступности таких объектов для населения городского поселения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 В целях настоящего нормативного правового акта используются следующие основные понятия: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градостроительное проектирование — деятельность по подготовке генерального плана Белореченского муниципального образования, изменений в генеральный план Белореченского муниципального образования, подготовке документации по планировке территорий и изменений в документацию по планировке территорий;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минимальный расчетный показатель — количественная характеристика (нормы, нормативы) обеспечения благоприятных условий жизнедеятельности человека, в том числе обеспеченности населения объектами обслуживания и их доступности;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объекты обслуживания — объекты образования, социального обслуживания населения, здравоохранения, отдыха, физкультуры и спорта, культуры, коммунально-бытового обслуживания, обеспечивающие благоприятные условия жизнедеятельности населения (включая инвалидов);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территориальная доступность — количественное значение расстояния или времени маршрута от границ земельного участка объекта обслуживания до жилых зданий;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функциональные зоны — зоны, для которых генеральным планом городского поселения определены границы и функциональное назначение;</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территориальные зоны — зоны, для которых правилами землепользования и застройки городского поселения определены границы и установлены градостроительные регламенты;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 индивидуальные жилые дома — отдельно стоящие жилые дома с количеством этажей не более чем три, предназначенные для проживания одной семьи;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 малоэтажные многоквартирные жилые дома — малоэтажные многоквартирные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 жилые дома блокированной застройки (также — 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Блокированные жилые дома (относятся к многоквартирным жилым домам в соответствии со СНиП 31-01-2003 "Жилые здания многоквартирные") — здания с количеством этажей не более чем три, состоящие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при которых один или несколько уровней одной квартиры располагаются над помещениями другой квартиры, или когда автономные жилые блоки имеют общие выходы, чердаки, подполья, шахты коммуникации, инженерные системы.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Блокированные жилые дома (относятся к индивидуальным жилым домам в соответствии со СНиП 31-02-2001 "Жилые дома одноквартирные") — здания с количеством этажей не более чем три, состоят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соседними блоками, не имеет помещений, расположенных над помещениями других жилых блоков, расположен на отдельном земельном участке и имеет выход на территорию общего пользования.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 Нормативы градостроительного проектирования Белореченского муниципального образования (далее — местные нормативы) устанавливают совокупность расчетных показателей: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минимально допустимого уровня обеспеченности: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объектами местного значения поселения, относящимися к областям, указанным в пункте 1 части 5 статьи 23 Градостроительного кодекса Российской Федерации;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объектами благоустройства территории;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иными объектами местного значения населения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максимально допустимого уровня территориальной доступности таких объектов для населения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1.3. Подготовка проекта генерального плана Белореченского муниципального образования и внесение изменений в генеральный план Белореченского муниципального образования осуществляются с учетом местных нормативов.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1.4. Подготовка документации по планировке территорий и внесение в нее изменений осуществляются в соответствии с требованиями местных нормативов.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1.5. Утвержденные местные нормативы подлежат внесению в информационную систему обеспечения градостроительной деятельности.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1.6. В случае утверждения областных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аналогичные расчетные показатели, содержащиеся в местных нормативах, в пределах Белореченского муниципального образования применяются соответствующие областные нормативы градостроительного проектирования.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случае если в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Белореченского муниципального образования, расчетные показатели максимально допустимого уровня территориальной доступности таких объектов для населения Белореченского муниципального образования не могут превышать эти предельные 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1.7. Местные нормативы градостроительного проектирования применяются во взаимосвязи со следующими показателями градостроительного проектирования в Белореченском муниципальном образовании: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градостроительных регламентов правил землепользования и застройки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технические регламенты безопасности в области градостроительного проектирования, установленные в соответствии с федеральным законодательством;</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требования областных нормативов градостроительного проектирования в части вопросов местного значения не нормируемых местными нормативами;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иные показатели, используемые при градостроительном проектировании (в том числе муниципальные стандарты благоустройства, муниципальные стандарты предоставления услуг социальной сферы).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1.8. Местные нормативы являются обязательными: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для органов местного самоуправления Белореченского муниципального образования при осуществлении полномочий в области градостроительной деятельности по подготовке и утверждению:</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внесения изменений в генеральный план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программ, планов содержащих мероприятия, выполнение которых направлено на реализацию генерального плана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документации по планировке территории, изменений в указанную документацию;</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 условий аукционов на право заключить договор о развитии застроенной территории;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для органов государственной власти при осуществлении полномочий в области градостроительной деятельности: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в случае совместной (с органами местного самоуправления) подготовки проектов документов территориального планирования;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для победителей аукционов: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(в случае наличия соответствующих требований в условиях аукциона);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для лиц, подготавливающих проекты о внесении изменений в генеральный план Белореченского муниципального образования, проекты документации по планировке территории,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1.9. Значения местных нормативов учитываются при подготовке решений по внесению изменений в градостроительные регламенты, установленные правилами землепользования и застройки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1.10. Администрация Белореченского муниципального образования осуществляет мониторинг развития социальной, инженерной и транспортной инфраструктуры и контроль за достижением значений местных нормативов посредством:</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осуществления проверки соответствия проектов документации по планировке территорий генеральному плану Белореченского муниципального образования, правилам землепользования и застройки Белореченского муниципального образования, техническим регламентам;</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подготовки комплексных (целевых, инвестиционных) программ (с планированием мер по уменьшению либо устранению разницы между значениями показателей, характеризующих текущую ситуацию, и значениями местных нормативов) и отчета об их исполнении.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1.11. Достижение значений местных нормативов осуществляется при обязательном соблюдении всеми субъектами градостроительной деятельности: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 требований безопасности, определённых техническими регламентами, а до их принятия – строительными нормами и правилами, в части, не противоречащей законодательству;</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градостроительных регламентов, установленных правилами землепользования и застройки в Белореченском муниципальном образовании;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1.12. Достижение значений местных нормативов обеспечивается посредством выполнения следующих действий: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подготовка документации по планировке территории в целях:</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а) реализации решений генерального плана Белореченского муниципального образования по вопросам обеспечения территорий социальной, инженерной и транспортной инфраструктурой путем детализации и уточнений таких решений применительно к различным территориям 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 установления красных линий, границ земельных участков, необходимых для строительства объектов социальной, инженерной и транспортной инфраструктуры, определения границ озелененных и иных территорий общего пользования, границ зон действия публичных сервитутов;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формирование в соответствии с документацией по планировке территории земельных участков, необходимых для строительства объектов социальной, инженерной и транспортной инфраструктуры или частей земельных участков, подлежащих обременению публичным сервитутом, их кадастровый учет;</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предоставление земельных участков для строительства объектов социальной, инженерной и транспортной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Включение в комплексные (целевые, инвестиционные) программы объектов социальной, инженерной и транспортной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 инженерной и транспортной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 инженерной и транспортной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 подготовка адресуемых органам государственной власти Иркутской области предложений об участии в финансировании строительства объектов социальной, инженерной и транспортной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градостроительными регламентами.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vertAlign w:val="superscript"/>
          <w:lang w:eastAsia="ru-RU"/>
        </w:rPr>
        <w:br w:type="textWrapping" w:clear="all"/>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Основная часть: расчетные показатели минимально допустимого уровня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обеспеченности объектами местного значения Белореченского муниципального образования,</w:t>
      </w:r>
      <w:r w:rsidRPr="007B1756">
        <w:rPr>
          <w:rFonts w:ascii="Arial" w:eastAsia="Times New Roman" w:hAnsi="Arial" w:cs="Arial"/>
          <w:color w:val="000000"/>
          <w:sz w:val="18"/>
          <w:szCs w:val="18"/>
          <w:lang w:eastAsia="ru-RU"/>
        </w:rPr>
        <w:br/>
        <w:t>объектами благоустройства территории и расчетные показатели максимально допустимого</w:t>
      </w:r>
      <w:r w:rsidRPr="007B1756">
        <w:rPr>
          <w:rFonts w:ascii="Arial" w:eastAsia="Times New Roman" w:hAnsi="Arial" w:cs="Arial"/>
          <w:color w:val="000000"/>
          <w:sz w:val="18"/>
          <w:szCs w:val="18"/>
          <w:lang w:eastAsia="ru-RU"/>
        </w:rPr>
        <w:br/>
        <w:t>уровня территориальной доступности таких объектов для населения городского поселения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 Плотность населения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285"/>
        <w:gridCol w:w="2640"/>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Жилая зона</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Плотность населения, чел./га</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Зона застройки индивидуальными жилыми домами, земельные участки, га:</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0,04</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0,06</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33</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0,08</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0,10</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24</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0,12</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0,15</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15</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0,20</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Зона застройки многоквартирными блокированными жилыми домами</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Зона застройки малоэтажными жилыми домами</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Зона застройки среднеэтажными жилыми домами</w:t>
            </w:r>
          </w:p>
        </w:tc>
        <w:tc>
          <w:tcPr>
            <w:tcW w:w="264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125</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 Жилищная обеспеченность</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Для определения параметров планируемого развития функциональных жилых зон устанавливаются следующие нормативы жилищной обеспеченности на одного человека: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срок до 2020 года — не менее 21 кв. м общей площади жилых помещений;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срок с 2020 года до 2035 года — не менее 25 кв. м общей площади жилых помещений.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2.3. Плотность застройки жилых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2.3.1.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195"/>
        <w:gridCol w:w="3170"/>
        <w:gridCol w:w="3170"/>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Жилая зона</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застройки</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плотности</w:t>
            </w:r>
            <w:r w:rsidRPr="007B1756">
              <w:rPr>
                <w:rFonts w:ascii="Arial" w:eastAsia="Times New Roman" w:hAnsi="Arial" w:cs="Arial"/>
                <w:color w:val="000000"/>
                <w:sz w:val="18"/>
                <w:szCs w:val="18"/>
                <w:lang w:eastAsia="ru-RU"/>
              </w:rPr>
              <w:br/>
              <w:t>застройки</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Зона застройки индивидуальными жилыми домами</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0,2</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0,4</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Зона застройки многоквартирными блокированными жилыми домами</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0,3</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0,6</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Зона застройки малоэтажными жилыми домами</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0,35</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0,7</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4. Зона застройки среднеэтажными жилыми домами</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0,4</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0,8</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2.4. Распределение жилищного строительства по видам жилой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285"/>
        <w:gridCol w:w="3285"/>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Вид строительства</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Доля в суммарном жилищном строительстве, %</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Индивидуальное жилищное строительство</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Строительство малоэтажных жилых домов</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 5</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Строительство среднеэтажных жилых домов</w:t>
            </w:r>
          </w:p>
        </w:tc>
        <w:tc>
          <w:tcPr>
            <w:tcW w:w="32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 5</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 Размеры земельных (приквартирных) участков, предоставляемых на территориях строительства и территориях реконструкции существующей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2.5.1.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7352"/>
        <w:gridCol w:w="2183"/>
      </w:tblGrid>
      <w:tr w:rsidR="007B1756" w:rsidRPr="007B1756" w:rsidTr="007B1756">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 строительства</w:t>
            </w:r>
          </w:p>
        </w:tc>
        <w:tc>
          <w:tcPr>
            <w:tcW w:w="22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м</w:t>
            </w:r>
            <w:r w:rsidRPr="007B1756">
              <w:rPr>
                <w:rFonts w:ascii="Arial" w:eastAsia="Times New Roman" w:hAnsi="Arial" w:cs="Arial"/>
                <w:color w:val="000000"/>
                <w:sz w:val="18"/>
                <w:szCs w:val="18"/>
                <w:vertAlign w:val="superscript"/>
                <w:lang w:eastAsia="ru-RU"/>
              </w:rPr>
              <w:t>2</w:t>
            </w:r>
          </w:p>
        </w:tc>
      </w:tr>
      <w:tr w:rsidR="007B1756" w:rsidRPr="007B1756" w:rsidTr="007B1756">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Объекты индивидуального жилищного строительства</w:t>
            </w:r>
          </w:p>
        </w:tc>
        <w:tc>
          <w:tcPr>
            <w:tcW w:w="22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(включая площадь застройки)</w:t>
            </w:r>
          </w:p>
        </w:tc>
      </w:tr>
      <w:tr w:rsidR="007B1756" w:rsidRPr="007B1756" w:rsidTr="007B1756">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Блокированные дома (жилые блоки которых рассматриваются как отдельные одноквартирные дома)</w:t>
            </w:r>
          </w:p>
        </w:tc>
        <w:tc>
          <w:tcPr>
            <w:tcW w:w="22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(включая площадь застройки)</w:t>
            </w:r>
          </w:p>
        </w:tc>
      </w:tr>
      <w:tr w:rsidR="007B1756" w:rsidRPr="007B1756" w:rsidTr="007B1756">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Многоквартирные дома блокированной застройки</w:t>
            </w:r>
          </w:p>
        </w:tc>
        <w:tc>
          <w:tcPr>
            <w:tcW w:w="22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(без площади застройки)</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2.6. Объекты образовательных организаций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 2.6.1.</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5880"/>
        <w:gridCol w:w="2025"/>
        <w:gridCol w:w="1575"/>
      </w:tblGrid>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5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Дошкольная образовательная организация</w:t>
            </w:r>
          </w:p>
        </w:tc>
        <w:tc>
          <w:tcPr>
            <w:tcW w:w="2025"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 на одну тысячу жителей</w:t>
            </w:r>
          </w:p>
        </w:tc>
        <w:tc>
          <w:tcPr>
            <w:tcW w:w="15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Организация среднего общего 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15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115</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Организация дополнительного образования детей (в том числе музыкальная, художественная школа, школа искусств, спортивная школа, дом детского творчества)</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доля от населения школьного возраста, %</w:t>
            </w:r>
          </w:p>
        </w:tc>
        <w:tc>
          <w:tcPr>
            <w:tcW w:w="15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2.7. Объекты услуг торговли, общественного питания, бытового обслуживания, связи, кредитно-финансовых организаций, гостиничных услуг</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 2.7.1.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5411"/>
        <w:gridCol w:w="2597"/>
        <w:gridCol w:w="1527"/>
      </w:tblGrid>
      <w:tr w:rsidR="007B1756" w:rsidRPr="007B1756" w:rsidTr="007B1756">
        <w:trPr>
          <w:tblHeade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Организация торговли</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торговая площадь, кв. м</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тысячу жителей</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280</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Организация общественного питания</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тысячу жителей</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45</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Организация бытового обслуживания</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рабочих мест на тысячу жителей</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Отделение связи</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10 тысяч жителей</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1,7</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Отделение банка</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то же</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4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Гостиница</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тысячу жителей</w:t>
            </w:r>
          </w:p>
        </w:tc>
        <w:tc>
          <w:tcPr>
            <w:tcW w:w="153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2.8. Объекты здравоохранения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2.8.1.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5855"/>
        <w:gridCol w:w="1840"/>
        <w:gridCol w:w="1840"/>
      </w:tblGrid>
      <w:tr w:rsidR="007B1756" w:rsidRPr="007B1756" w:rsidTr="007B1756">
        <w:trPr>
          <w:tblHeade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Больничные учреждения, всего:</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коек на тысячу жителей</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17</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Муниципальные амбулаторно-поликлинические учреждения</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посещений в смену на 1000 чел.</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Станции скорой медицинской помощи: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количество специализированных автомашин</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автомашин на 10 тысяч жителей</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2) площадь территории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гектаров на один объект</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0,25</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доступность – максимальное время движения от объекта к месту вызова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минута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15</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Аптечные организации</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объектов на 10 тыс. жителей</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88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Учреждения для централизованного приготовления и снабжения детей до 1 года качественным питанием (молочные кухни)</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порций в сутки на одного ребёнка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2.9. Объекты физической культуры и 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2.9.1.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5461"/>
        <w:gridCol w:w="2022"/>
        <w:gridCol w:w="2052"/>
      </w:tblGrid>
      <w:tr w:rsidR="007B1756" w:rsidRPr="007B1756" w:rsidTr="007B1756">
        <w:trPr>
          <w:tblHeader/>
          <w:tblCellSpacing w:w="0" w:type="dxa"/>
        </w:trPr>
        <w:tc>
          <w:tcPr>
            <w:tcW w:w="54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54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Спортивный зал общего пользования</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квадратных метров общей площади пола на тысячу жителей</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350</w:t>
            </w:r>
          </w:p>
        </w:tc>
      </w:tr>
      <w:tr w:rsidR="007B1756" w:rsidRPr="007B1756" w:rsidTr="007B1756">
        <w:trPr>
          <w:tblCellSpacing w:w="0" w:type="dxa"/>
        </w:trPr>
        <w:tc>
          <w:tcPr>
            <w:tcW w:w="54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Бассейн общего пользования</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квадратных метров площади зеркала воды на тысячу жителей</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65</w:t>
            </w:r>
          </w:p>
        </w:tc>
      </w:tr>
      <w:tr w:rsidR="007B1756" w:rsidRPr="007B1756" w:rsidTr="007B1756">
        <w:trPr>
          <w:tblCellSpacing w:w="0" w:type="dxa"/>
        </w:trPr>
        <w:tc>
          <w:tcPr>
            <w:tcW w:w="54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Плоскостные спортивные сооружения</w:t>
            </w:r>
          </w:p>
        </w:tc>
        <w:tc>
          <w:tcPr>
            <w:tcW w:w="20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квадратных метров на тысячу жителей</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2010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2.10. Объекты культурно-просветительских организаций, культурно-досуговых организаций, искусства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2.10.1.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5775"/>
        <w:gridCol w:w="1860"/>
        <w:gridCol w:w="1860"/>
      </w:tblGrid>
      <w:tr w:rsidR="007B1756" w:rsidRPr="007B1756" w:rsidTr="007B1756">
        <w:trPr>
          <w:tblHeade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Клуб (помещение) для организации досуга населения, располагаемые в квартале, микрорайоне</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 на тысячу жителей</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Кинотеатр</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775"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Библиотека</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тысяч томов книг на тысячу жителей</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w:t>
            </w:r>
          </w:p>
        </w:tc>
      </w:tr>
      <w:tr w:rsidR="007B1756" w:rsidRPr="007B1756" w:rsidTr="007B17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квадратных метров общей площади на тысячу томов книг</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(общедоступн. универсальная);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(юношеск.)</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(детск.)</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Музей</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Выставочный зал (картинная галерея)</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Парк культуры и отдыха</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 Муниципальный архив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объектов</w:t>
            </w:r>
          </w:p>
        </w:tc>
        <w:tc>
          <w:tcPr>
            <w:tcW w:w="18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2.11. Объекты, связанные с обеспечением организации мероприятий по работе с молодежью</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 2.11.1.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482"/>
        <w:gridCol w:w="3004"/>
        <w:gridCol w:w="2049"/>
      </w:tblGrid>
      <w:tr w:rsidR="007B1756" w:rsidRPr="007B1756" w:rsidTr="007B1756">
        <w:trPr>
          <w:tblHeade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30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показателя</w:t>
            </w:r>
          </w:p>
        </w:tc>
      </w:tr>
      <w:tr w:rsidR="007B1756" w:rsidRPr="007B1756" w:rsidTr="007B1756">
        <w:trPr>
          <w:tblCellSpacing w:w="0" w:type="dxa"/>
        </w:trPr>
        <w:tc>
          <w:tcPr>
            <w:tcW w:w="4500"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Молодёжный лагерь</w:t>
            </w:r>
          </w:p>
        </w:tc>
        <w:tc>
          <w:tcPr>
            <w:tcW w:w="30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 % от численности молодёжи (14–18 лет)</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20</w:t>
            </w:r>
          </w:p>
        </w:tc>
      </w:tr>
      <w:tr w:rsidR="007B1756" w:rsidRPr="007B1756" w:rsidTr="007B17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30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территории на одно место, кв. м</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140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2.12. Объекты коммунально-бытового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2.12.1.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482"/>
        <w:gridCol w:w="3004"/>
        <w:gridCol w:w="2049"/>
      </w:tblGrid>
      <w:tr w:rsidR="007B1756" w:rsidRPr="007B1756" w:rsidTr="007B1756">
        <w:trPr>
          <w:tblHeade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30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Баня</w:t>
            </w:r>
          </w:p>
        </w:tc>
        <w:tc>
          <w:tcPr>
            <w:tcW w:w="30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мест на 1 тыс. жителей</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w:t>
            </w:r>
          </w:p>
        </w:tc>
      </w:tr>
      <w:tr w:rsidR="007B1756" w:rsidRPr="007B1756" w:rsidTr="007B1756">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Химчистка</w:t>
            </w:r>
          </w:p>
        </w:tc>
        <w:tc>
          <w:tcPr>
            <w:tcW w:w="3015"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вещей в смену на 1 тыс. жителей, кг</w:t>
            </w: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11,4</w:t>
            </w:r>
          </w:p>
        </w:tc>
      </w:tr>
      <w:tr w:rsidR="007B1756" w:rsidRPr="007B1756" w:rsidTr="007B1756">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Прачечная</w:t>
            </w:r>
          </w:p>
        </w:tc>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20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2.13. Максимально допустимый уровень территориальной доступности объектов общественного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2.13.1.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778"/>
        <w:gridCol w:w="4757"/>
      </w:tblGrid>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Объекты социального назначения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Транспортная и пешеходная доступность, м</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Организации дошкольного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среднеэтажной застройке</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малоэтажной</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Организации среднего общего образования: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Организации начального общего образования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Помещения для физкультурно-оздоровительных и досуговых занятий</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Амбулаторно-поликлинические учреждения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Аптеки</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 Объекты культуры</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 Предприятия торгово-бытового обслуживания повседневного пользования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 Отделения связи и Сбербанка, опорный пункт охраны порядка</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 Центр административного самоуправления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1200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2.14. Параметры застройки производственных и коммунальных функциональных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2712"/>
        <w:gridCol w:w="2158"/>
        <w:gridCol w:w="1966"/>
        <w:gridCol w:w="2699"/>
      </w:tblGrid>
      <w:tr w:rsidR="007B1756" w:rsidRPr="007B1756" w:rsidTr="007B1756">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Функциональная зона</w:t>
            </w:r>
          </w:p>
        </w:tc>
        <w:tc>
          <w:tcPr>
            <w:tcW w:w="223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застройки</w:t>
            </w:r>
          </w:p>
        </w:tc>
        <w:tc>
          <w:tcPr>
            <w:tcW w:w="202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плотности застройки</w:t>
            </w:r>
          </w:p>
        </w:tc>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Преобладающая этажность зданий, сооружений</w:t>
            </w:r>
          </w:p>
        </w:tc>
      </w:tr>
      <w:tr w:rsidR="007B1756" w:rsidRPr="007B1756" w:rsidTr="007B1756">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Производственная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0,8</w:t>
            </w:r>
          </w:p>
        </w:tc>
        <w:tc>
          <w:tcPr>
            <w:tcW w:w="202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2,4</w:t>
            </w:r>
          </w:p>
        </w:tc>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w:t>
            </w:r>
          </w:p>
        </w:tc>
      </w:tr>
      <w:tr w:rsidR="007B1756" w:rsidRPr="007B1756" w:rsidTr="007B1756">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Коммунальная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0,6</w:t>
            </w:r>
          </w:p>
        </w:tc>
        <w:tc>
          <w:tcPr>
            <w:tcW w:w="202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1,8</w:t>
            </w:r>
          </w:p>
        </w:tc>
        <w:tc>
          <w:tcPr>
            <w:tcW w:w="280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2.15. Гаражи и открытые стоянки для постоянного и временного хранения индивидуальных легковых автомобилей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2.15.1.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771"/>
        <w:gridCol w:w="4764"/>
      </w:tblGrid>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Территориальная зона</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Показатель, % от расчётного числа индивидуальных легковых автомобилей, не менее</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Гаражи и открытые стоянки для постоянного хранения:</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жилые и прилегающие к ним производственные зоны, зоны инженерной и транспортной инфраструктур (всего)</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Открытые стоянки для временного хранения, в том числе:</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жилые зоны</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общественно-деловые зоны</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производственные зоны, зоны инженерной и транспортной инфраструктур (всего)</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рекреационные зоны</w:t>
            </w:r>
          </w:p>
        </w:tc>
        <w:tc>
          <w:tcPr>
            <w:tcW w:w="492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15</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2.16. Парковочные места автомобилей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2.16.1.</w:t>
      </w:r>
    </w:p>
    <w:tbl>
      <w:tblPr>
        <w:tblW w:w="13365" w:type="dxa"/>
        <w:jc w:val="center"/>
        <w:tblCellSpacing w:w="0" w:type="dxa"/>
        <w:tblCellMar>
          <w:left w:w="75" w:type="dxa"/>
          <w:right w:w="75" w:type="dxa"/>
        </w:tblCellMar>
        <w:tblLook w:val="04A0" w:firstRow="1" w:lastRow="0" w:firstColumn="1" w:lastColumn="0" w:noHBand="0" w:noVBand="1"/>
      </w:tblPr>
      <w:tblGrid>
        <w:gridCol w:w="7774"/>
        <w:gridCol w:w="2864"/>
        <w:gridCol w:w="2727"/>
      </w:tblGrid>
      <w:tr w:rsidR="007B1756" w:rsidRPr="007B1756" w:rsidTr="007B1756">
        <w:trPr>
          <w:tblCellSpacing w:w="0" w:type="dxa"/>
          <w:jc w:val="center"/>
        </w:trPr>
        <w:tc>
          <w:tcPr>
            <w:tcW w:w="2850" w:type="pct"/>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Объекты</w:t>
            </w:r>
          </w:p>
        </w:tc>
        <w:tc>
          <w:tcPr>
            <w:tcW w:w="1050" w:type="pct"/>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Расчетная единица</w:t>
            </w:r>
          </w:p>
        </w:tc>
        <w:tc>
          <w:tcPr>
            <w:tcW w:w="1000" w:type="pct"/>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Число машино-мест на расчетную единицу, не менее</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 Пляжи и парки в рекреационных зонах</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единовременных посетителей</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15</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 Базы кратковременного отдыха (спортивные, лыжные, рыболовные, охотничьи и др.)</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то же</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15</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3. Дома отдыха и санатории, санатории-профилактории, базы отдыха предприятий и туристские базы</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отдыхающих и обслуживающего персонала</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7</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4. Предприятия общественного питания, торговли и коммунально-бытового обслуживания в зонах отдыха</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15</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5. Садоводческие товарищества</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 участков</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6. Учреждения управления, правоохранительные; общественные организации</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1000 кв. м общей площади</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6</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lastRenderedPageBreak/>
              <w:t>7. Кредитно-финансовые организации</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то же</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16</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8. Школы</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объект</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9. Дошкольные организации</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то же</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7</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 Производственные объекты</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работающих в двух смежных сменах</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11. Больницы</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коек</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12. Поликлиники</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посещений</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3</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13. Спортивные здания и сооружения с трибунами вместимостью более 500 зрителей</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мест</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14. Кинотеатры, музеи, выставки, др. культурно-досуговые учреждения</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мест или единовременных посетителей</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12</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15. Парки культуры и отдыха</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единовременных посетителей</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16. Торговые центры, универмаги, магазины с площадью торговых залов более 200 м</w:t>
            </w:r>
            <w:r w:rsidRPr="007B1756">
              <w:rPr>
                <w:rFonts w:ascii="Times New Roman" w:eastAsia="Times New Roman" w:hAnsi="Times New Roman" w:cs="Times New Roman"/>
                <w:sz w:val="24"/>
                <w:szCs w:val="24"/>
                <w:vertAlign w:val="superscript"/>
                <w:lang w:eastAsia="ru-RU"/>
              </w:rPr>
              <w:t>2</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м</w:t>
            </w:r>
            <w:r w:rsidRPr="007B1756">
              <w:rPr>
                <w:rFonts w:ascii="Times New Roman" w:eastAsia="Times New Roman" w:hAnsi="Times New Roman" w:cs="Times New Roman"/>
                <w:sz w:val="24"/>
                <w:szCs w:val="24"/>
                <w:vertAlign w:val="superscript"/>
                <w:lang w:eastAsia="ru-RU"/>
              </w:rPr>
              <w:t>2</w:t>
            </w:r>
            <w:r w:rsidRPr="007B1756">
              <w:rPr>
                <w:rFonts w:ascii="Times New Roman" w:eastAsia="Times New Roman" w:hAnsi="Times New Roman" w:cs="Times New Roman"/>
                <w:sz w:val="24"/>
                <w:szCs w:val="24"/>
                <w:lang w:eastAsia="ru-RU"/>
              </w:rPr>
              <w:t> торговой площади</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7</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17. Рынки</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50 торговых мест</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30</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18.Рестораны, кафе общегородского значения</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мест</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12</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19. Гостиницы</w:t>
            </w:r>
          </w:p>
        </w:tc>
        <w:tc>
          <w:tcPr>
            <w:tcW w:w="105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То же</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8</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20. Вокзал железнодорожный</w:t>
            </w:r>
          </w:p>
        </w:tc>
        <w:tc>
          <w:tcPr>
            <w:tcW w:w="1050" w:type="pct"/>
            <w:vMerge w:val="restar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25</w:t>
            </w:r>
          </w:p>
        </w:tc>
      </w:tr>
      <w:tr w:rsidR="007B1756" w:rsidRPr="007B1756" w:rsidTr="007B1756">
        <w:trPr>
          <w:tblCellSpacing w:w="0" w:type="dxa"/>
          <w:jc w:val="center"/>
        </w:trPr>
        <w:tc>
          <w:tcPr>
            <w:tcW w:w="2850" w:type="pct"/>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21. Автовокзал</w:t>
            </w:r>
          </w:p>
        </w:tc>
        <w:tc>
          <w:tcPr>
            <w:tcW w:w="0" w:type="auto"/>
            <w:vMerge/>
            <w:vAlign w:val="center"/>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p>
        </w:tc>
        <w:tc>
          <w:tcPr>
            <w:tcW w:w="1000" w:type="pct"/>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12</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2.17. Плотность сети линий общественного пассажирского транспорта, уровень автомобилизации населения, пункты технического осмотра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2.17.1.</w:t>
      </w:r>
    </w:p>
    <w:tbl>
      <w:tblPr>
        <w:tblW w:w="9810" w:type="dxa"/>
        <w:jc w:val="center"/>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firstRow="1" w:lastRow="0" w:firstColumn="1" w:lastColumn="0" w:noHBand="0" w:noVBand="1"/>
      </w:tblPr>
      <w:tblGrid>
        <w:gridCol w:w="5045"/>
        <w:gridCol w:w="3355"/>
        <w:gridCol w:w="1410"/>
      </w:tblGrid>
      <w:tr w:rsidR="007B1756" w:rsidRPr="007B1756" w:rsidTr="007B1756">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225" w:line="240" w:lineRule="auto"/>
              <w:jc w:val="center"/>
              <w:outlineLvl w:val="1"/>
              <w:rPr>
                <w:rFonts w:ascii="Times New Roman" w:eastAsia="Times New Roman" w:hAnsi="Times New Roman" w:cs="Times New Roman"/>
                <w:b/>
                <w:bCs/>
                <w:color w:val="024378"/>
                <w:sz w:val="21"/>
                <w:szCs w:val="21"/>
                <w:lang w:eastAsia="ru-RU"/>
              </w:rPr>
            </w:pPr>
            <w:r w:rsidRPr="007B1756">
              <w:rPr>
                <w:rFonts w:ascii="Times New Roman" w:eastAsia="Times New Roman" w:hAnsi="Times New Roman" w:cs="Times New Roman"/>
                <w:b/>
                <w:bCs/>
                <w:color w:val="024378"/>
                <w:sz w:val="21"/>
                <w:szCs w:val="21"/>
                <w:lang w:eastAsia="ru-RU"/>
              </w:rPr>
              <w:t>Нормируемый показатель</w:t>
            </w:r>
          </w:p>
        </w:tc>
        <w:tc>
          <w:tcPr>
            <w:tcW w:w="3360"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Единица измерения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Значение показателя</w:t>
            </w:r>
          </w:p>
        </w:tc>
      </w:tr>
      <w:tr w:rsidR="007B1756" w:rsidRPr="007B1756" w:rsidTr="007B1756">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 Плотность сети линий наземного общественного пассажирского транспорта:</w:t>
            </w:r>
          </w:p>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в населённом пункте</w:t>
            </w:r>
          </w:p>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в центральной его части</w:t>
            </w:r>
          </w:p>
        </w:tc>
        <w:tc>
          <w:tcPr>
            <w:tcW w:w="3360"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отношение протяжённости к площади застроенных территорий, км/км</w:t>
            </w:r>
            <w:r w:rsidRPr="007B1756">
              <w:rPr>
                <w:rFonts w:ascii="Times New Roman" w:eastAsia="Times New Roman" w:hAnsi="Times New Roman" w:cs="Times New Roman"/>
                <w:sz w:val="24"/>
                <w:szCs w:val="24"/>
                <w:vertAlign w:val="superscript"/>
                <w:lang w:eastAsia="ru-RU"/>
              </w:rPr>
              <w:t>2</w:t>
            </w:r>
          </w:p>
        </w:tc>
        <w:tc>
          <w:tcPr>
            <w:tcW w:w="1410" w:type="dxa"/>
            <w:tcBorders>
              <w:top w:val="outset" w:sz="6" w:space="0" w:color="auto"/>
              <w:left w:val="outset" w:sz="6" w:space="0" w:color="auto"/>
              <w:bottom w:val="outset" w:sz="6" w:space="0" w:color="auto"/>
              <w:right w:val="outset" w:sz="6" w:space="0" w:color="auto"/>
            </w:tcBorders>
            <w:vAlign w:val="bottom"/>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 </w:t>
            </w:r>
          </w:p>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1,5</w:t>
            </w:r>
          </w:p>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2,5</w:t>
            </w:r>
          </w:p>
        </w:tc>
      </w:tr>
      <w:tr w:rsidR="007B1756" w:rsidRPr="007B1756" w:rsidTr="007B1756">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2. Обеспеченность населения легковыми автомобилями</w:t>
            </w:r>
          </w:p>
        </w:tc>
        <w:tc>
          <w:tcPr>
            <w:tcW w:w="3360" w:type="dxa"/>
            <w:vMerge w:val="restart"/>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количество автомобилей на 1000 жителей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350</w:t>
            </w:r>
          </w:p>
        </w:tc>
      </w:tr>
      <w:tr w:rsidR="007B1756" w:rsidRPr="007B1756" w:rsidTr="007B1756">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3. Обеспеченность населения легковыми такси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7B1756" w:rsidRPr="007B1756" w:rsidRDefault="007B1756" w:rsidP="007B1756">
            <w:pPr>
              <w:spacing w:after="0" w:line="240" w:lineRule="auto"/>
              <w:jc w:val="center"/>
              <w:rPr>
                <w:rFonts w:ascii="Times New Roman" w:eastAsia="Times New Roman" w:hAnsi="Times New Roman" w:cs="Times New Roman"/>
                <w:sz w:val="24"/>
                <w:szCs w:val="24"/>
                <w:lang w:eastAsia="ru-RU"/>
              </w:rPr>
            </w:pPr>
            <w:r w:rsidRPr="007B1756">
              <w:rPr>
                <w:rFonts w:ascii="Times New Roman" w:eastAsia="Times New Roman" w:hAnsi="Times New Roman" w:cs="Times New Roman"/>
                <w:sz w:val="24"/>
                <w:szCs w:val="24"/>
                <w:lang w:eastAsia="ru-RU"/>
              </w:rPr>
              <w:t>4</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2.18. Озеленение территорий санитарных разрывов, отделяющих автомобильные и железные дороги от объектов жилой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2.18.1.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920"/>
        <w:gridCol w:w="3825"/>
      </w:tblGrid>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Линейные объекты, в отношении которых установлены санитарные разрывы</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озеленения, %</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Автомобильные дороги</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Железные дороги</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2.19. Дальность пешеходных подходов до ближайших остановок общественного пассажирского транспорта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2.19.1.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779"/>
        <w:gridCol w:w="4756"/>
      </w:tblGrid>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Объекты</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Дальность пешеходных подходов не более, м</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От объектов массового посещения в общегородском центре</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В жилых зонах с малоэтажной и среднеэтажной :жилой застройкой</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В жилых зонах с индивидуальной жилой застройкой</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От проходных предприятий в производственных и коммунально-складских зонах</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От главного входа в зонах массового отдыха и спорта</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2.20. Расстояние между остановочными пунктами на линиях автомобильного общественного пассажирского транспорта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2.20.1.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920"/>
        <w:gridCol w:w="3825"/>
      </w:tblGrid>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В пределах зоны</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Расстояние не более, м</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В жилых зонах с индивидуальной жилой застройкой</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В жилых зонах с малоэтажной и среднеэтажной :жилой застройкой</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500</w:t>
            </w:r>
          </w:p>
        </w:tc>
      </w:tr>
      <w:tr w:rsidR="007B1756" w:rsidRPr="007B1756" w:rsidTr="007B1756">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В общественно-деловых зонах</w:t>
            </w:r>
          </w:p>
        </w:tc>
        <w:tc>
          <w:tcPr>
            <w:tcW w:w="38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2.21. Объекты инженерной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2.21.1. Электроснабжение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211"/>
        <w:gridCol w:w="3883"/>
        <w:gridCol w:w="2441"/>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Показатель</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Электропотребление одного человека в год, жилые помещения, оборудованные стационарными электроплитами: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без кондиционеров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 кондиционерами</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киловатт-часов</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1680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1920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Использование максимума электрической нагрузки одного человека в год, жилые помещения, оборудованные стационарными электроплитами: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без кондиционеров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 кондиционерами</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ч/год</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5300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5800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2.21.2. Теплоснабжение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192"/>
        <w:gridCol w:w="3901"/>
        <w:gridCol w:w="2442"/>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Здания строительства после 2015 г.</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Объекты индивидуального жилищного строительства</w:t>
            </w:r>
          </w:p>
        </w:tc>
        <w:tc>
          <w:tcPr>
            <w:tcW w:w="4050"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Удельные показатели максимальной тепловой нагрузки на отопление и вентиляцию, Вт на 1 м</w:t>
            </w:r>
            <w:r w:rsidRPr="007B1756">
              <w:rPr>
                <w:rFonts w:ascii="Arial" w:eastAsia="Times New Roman" w:hAnsi="Arial" w:cs="Arial"/>
                <w:color w:val="000000"/>
                <w:sz w:val="18"/>
                <w:szCs w:val="18"/>
                <w:vertAlign w:val="superscript"/>
                <w:lang w:eastAsia="ru-RU"/>
              </w:rPr>
              <w:t>2</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77,0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Малоэтажные жилые дома</w:t>
            </w:r>
          </w:p>
        </w:tc>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64,0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Среднеэтажные жилые дома</w:t>
            </w:r>
          </w:p>
        </w:tc>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55,0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2.21.3. Водоснабжение</w:t>
      </w:r>
    </w:p>
    <w:tbl>
      <w:tblPr>
        <w:tblW w:w="0" w:type="auto"/>
        <w:tblCellSpacing w:w="0" w:type="dxa"/>
        <w:shd w:val="clear" w:color="auto" w:fill="F3FBFA"/>
        <w:tblCellMar>
          <w:left w:w="75" w:type="dxa"/>
          <w:right w:w="75" w:type="dxa"/>
        </w:tblCellMar>
        <w:tblLook w:val="04A0" w:firstRow="1" w:lastRow="0" w:firstColumn="1" w:lastColumn="0" w:noHBand="0" w:noVBand="1"/>
      </w:tblPr>
      <w:tblGrid>
        <w:gridCol w:w="5115"/>
        <w:gridCol w:w="4390"/>
      </w:tblGrid>
      <w:tr w:rsidR="007B1756" w:rsidRPr="007B1756" w:rsidTr="007B1756">
        <w:trPr>
          <w:tblCellSpacing w:w="0" w:type="dxa"/>
        </w:trPr>
        <w:tc>
          <w:tcPr>
            <w:tcW w:w="5265" w:type="dxa"/>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Степень благоустройства районов жилой застройки</w:t>
            </w:r>
          </w:p>
        </w:tc>
        <w:tc>
          <w:tcPr>
            <w:tcW w:w="4515" w:type="dxa"/>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Удельное хозяйственно-питьевое водопотребление в населенных пунктах на одного жителя среднесуточное (за год), л/сут</w:t>
            </w:r>
          </w:p>
        </w:tc>
      </w:tr>
      <w:tr w:rsidR="007B1756" w:rsidRPr="007B1756" w:rsidTr="007B1756">
        <w:trPr>
          <w:tblCellSpacing w:w="0" w:type="dxa"/>
        </w:trPr>
        <w:tc>
          <w:tcPr>
            <w:tcW w:w="5265" w:type="dxa"/>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Застройка зданиями, оборудованными внутренним водопроводом и канализацией, без ванн</w:t>
            </w:r>
          </w:p>
        </w:tc>
        <w:tc>
          <w:tcPr>
            <w:tcW w:w="4515" w:type="dxa"/>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125</w:t>
            </w:r>
          </w:p>
        </w:tc>
      </w:tr>
      <w:tr w:rsidR="007B1756" w:rsidRPr="007B1756" w:rsidTr="007B1756">
        <w:trPr>
          <w:tblCellSpacing w:w="0" w:type="dxa"/>
        </w:trPr>
        <w:tc>
          <w:tcPr>
            <w:tcW w:w="5265" w:type="dxa"/>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То же, с ванными и местными водонагревателями</w:t>
            </w:r>
          </w:p>
        </w:tc>
        <w:tc>
          <w:tcPr>
            <w:tcW w:w="4515" w:type="dxa"/>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160</w:t>
            </w:r>
          </w:p>
        </w:tc>
      </w:tr>
      <w:tr w:rsidR="007B1756" w:rsidRPr="007B1756" w:rsidTr="007B1756">
        <w:trPr>
          <w:tblCellSpacing w:w="0" w:type="dxa"/>
        </w:trPr>
        <w:tc>
          <w:tcPr>
            <w:tcW w:w="5265" w:type="dxa"/>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То же, с централизованным горячим водоснабжением</w:t>
            </w:r>
          </w:p>
        </w:tc>
        <w:tc>
          <w:tcPr>
            <w:tcW w:w="4515" w:type="dxa"/>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230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2.21.4. Водоотведение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187"/>
        <w:gridCol w:w="3899"/>
        <w:gridCol w:w="2449"/>
      </w:tblGrid>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Средний за год суточный отвод сточных вод по отношению к расходу воды,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том числе хозяйственно-бытовых вод,</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Нормы накопления твердых бытовых отходов</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человека в год, кг</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280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2.21.5. Нормы накопления твердых бытовых отходов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206"/>
        <w:gridCol w:w="3894"/>
        <w:gridCol w:w="2435"/>
      </w:tblGrid>
      <w:tr w:rsidR="007B1756" w:rsidRPr="007B1756" w:rsidTr="007B1756">
        <w:trPr>
          <w:tblCellSpacing w:w="0" w:type="dxa"/>
        </w:trPr>
        <w:tc>
          <w:tcPr>
            <w:tcW w:w="3285"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Территория</w:t>
            </w:r>
          </w:p>
        </w:tc>
        <w:tc>
          <w:tcPr>
            <w:tcW w:w="6570" w:type="dxa"/>
            <w:gridSpan w:val="2"/>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Количество бытовых отходов, чел/год</w:t>
            </w:r>
          </w:p>
        </w:tc>
      </w:tr>
      <w:tr w:rsidR="007B1756" w:rsidRPr="007B1756" w:rsidTr="007B17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кг</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л</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Жилые здания, оборудованные водопроводом, канализацией, центральным отоплением</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190</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900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Прочие жилые здания</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300</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1100</w:t>
            </w:r>
          </w:p>
        </w:tc>
      </w:tr>
      <w:tr w:rsidR="007B1756" w:rsidRPr="007B1756" w:rsidTr="007B1756">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Общее количество по городу с учетом общественных зданий</w:t>
            </w:r>
          </w:p>
        </w:tc>
        <w:tc>
          <w:tcPr>
            <w:tcW w:w="4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280</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1400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2.22. Площади земельных участков, используемых для  ведения садоводства, огородничества, дачного строительства, личного подсобного хозяйства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2.22.1.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640"/>
        <w:gridCol w:w="4895"/>
      </w:tblGrid>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Назначение</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земельного участка</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 менее, га</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Садоводство</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0,06</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Огородничество</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0,06</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Дачное строительство</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0,06</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Личное подсобное хозяйство (приусадебный земельный участок)</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0,06</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2.23. Площади территорий для размещения объектов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2.23.1.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632"/>
        <w:gridCol w:w="4903"/>
      </w:tblGrid>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Объект рекреационного назначения</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территории для размещения объекта рекреационного назначения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 менее, га</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Общегородской парк</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15</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Парк планировочного района</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Сад</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Сквер</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0,5</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Городские леса</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всех защитных лесов, включаемых в границы населённого пункта</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Пляж</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из расчёта не менее 8 м</w:t>
            </w:r>
            <w:r w:rsidRPr="007B1756">
              <w:rPr>
                <w:rFonts w:ascii="Arial" w:eastAsia="Times New Roman" w:hAnsi="Arial" w:cs="Arial"/>
                <w:color w:val="000000"/>
                <w:sz w:val="18"/>
                <w:szCs w:val="18"/>
                <w:vertAlign w:val="superscript"/>
                <w:lang w:eastAsia="ru-RU"/>
              </w:rPr>
              <w:t>2</w:t>
            </w:r>
            <w:r w:rsidRPr="007B1756">
              <w:rPr>
                <w:rFonts w:ascii="Arial" w:eastAsia="Times New Roman" w:hAnsi="Arial" w:cs="Arial"/>
                <w:color w:val="000000"/>
                <w:sz w:val="18"/>
                <w:szCs w:val="18"/>
                <w:lang w:eastAsia="ru-RU"/>
              </w:rPr>
              <w:t> на одного посетителя,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0,25 м береговой линии на одного посетителя</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2.24. Обеспеченность объектами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777"/>
        <w:gridCol w:w="4758"/>
      </w:tblGrid>
      <w:tr w:rsidR="007B1756" w:rsidRPr="007B1756" w:rsidTr="007B1756">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 рекреационного назначения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Обеспеченность одного человека, м</w:t>
            </w:r>
            <w:r w:rsidRPr="007B1756">
              <w:rPr>
                <w:rFonts w:ascii="Arial" w:eastAsia="Times New Roman" w:hAnsi="Arial" w:cs="Arial"/>
                <w:color w:val="000000"/>
                <w:sz w:val="18"/>
                <w:szCs w:val="18"/>
                <w:vertAlign w:val="superscript"/>
                <w:lang w:eastAsia="ru-RU"/>
              </w:rPr>
              <w:t>2</w:t>
            </w:r>
          </w:p>
        </w:tc>
      </w:tr>
      <w:tr w:rsidR="007B1756" w:rsidRPr="007B1756" w:rsidTr="007B1756">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Озеленённые территории общего пользования</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w:t>
            </w:r>
          </w:p>
        </w:tc>
      </w:tr>
      <w:tr w:rsidR="007B1756" w:rsidRPr="007B1756" w:rsidTr="007B1756">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Благоустроенные участки городских лесов («лесопарки»)</w:t>
            </w:r>
          </w:p>
        </w:tc>
        <w:tc>
          <w:tcPr>
            <w:tcW w:w="49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2.25. Площади озеленения территорий объектов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2.25.1.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639"/>
        <w:gridCol w:w="4896"/>
      </w:tblGrid>
      <w:tr w:rsidR="007B1756" w:rsidRPr="007B1756" w:rsidTr="007B1756">
        <w:trPr>
          <w:tblHeade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 рекреационного назначения</w:t>
            </w:r>
          </w:p>
        </w:tc>
        <w:tc>
          <w:tcPr>
            <w:tcW w:w="50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озеленения, %</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Общегородской парк</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80</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Парк планировочного района</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85</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Сад</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90</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Сквер</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95</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Городские леса</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95</w:t>
            </w:r>
          </w:p>
        </w:tc>
      </w:tr>
      <w:tr w:rsidR="007B1756" w:rsidRPr="007B1756" w:rsidTr="007B175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Пляж</w:t>
            </w:r>
          </w:p>
        </w:tc>
        <w:tc>
          <w:tcPr>
            <w:tcW w:w="507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20</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2.26. Озеленение функциональных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2.26.1.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6798"/>
        <w:gridCol w:w="2737"/>
      </w:tblGrid>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Функциональная зона</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Доля озеленённых территорий общего и ограниченного пользования в общей площади территории зоны, %</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Зона застройки индивидуальными жилыми домами</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Зона застройки малоэтажными жилыми домам (1–3 этажа)</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Зона застройки среднеэтажными жилыми домами (4–6 этажей)</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25</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 Зона дошкольных образовательных организаций</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 Зона размещения объектов здравоохранения</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55</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 Зона размещения объектов среднего профессионального и высшего профессионального образования</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 Зона размещения объектов культурно-досугового назначения</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8. Зона размещения объектов физкультуры и спорта</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9. Зона научно-исследовательских учреждений</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 Зона объектов культового назначения</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705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11. Производственные зоны</w:t>
            </w:r>
          </w:p>
        </w:tc>
        <w:tc>
          <w:tcPr>
            <w:tcW w:w="280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w:t>
            </w:r>
          </w:p>
        </w:tc>
      </w:tr>
      <w:tr w:rsidR="007B1756" w:rsidRPr="007B1756" w:rsidTr="007B1756">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 Озеленённые территории общего пользования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 Озеленённые территории общего пользования при отсутствии необходимости установления санитарно-защитных зон</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2.27. Объекты, предназначенные для организации ритуальных услуг.</w:t>
      </w:r>
      <w:r w:rsidRPr="007B1756">
        <w:rPr>
          <w:rFonts w:ascii="Arial" w:eastAsia="Times New Roman" w:hAnsi="Arial" w:cs="Arial"/>
          <w:color w:val="000000"/>
          <w:sz w:val="18"/>
          <w:szCs w:val="18"/>
          <w:lang w:eastAsia="ru-RU"/>
        </w:rPr>
        <w:br/>
        <w:t>Места захоронения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2.27.1</w:t>
      </w:r>
    </w:p>
    <w:tbl>
      <w:tblPr>
        <w:tblW w:w="6225"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2946"/>
        <w:gridCol w:w="1692"/>
        <w:gridCol w:w="1587"/>
      </w:tblGrid>
      <w:tr w:rsidR="007B1756" w:rsidRPr="007B1756" w:rsidTr="007B1756">
        <w:trPr>
          <w:tblHeader/>
          <w:tblCellSpacing w:w="0" w:type="dxa"/>
        </w:trPr>
        <w:tc>
          <w:tcPr>
            <w:tcW w:w="2955"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3270" w:type="dxa"/>
            <w:gridSpan w:val="2"/>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Минимально допустимый уровень обеспеченности</w:t>
            </w:r>
          </w:p>
        </w:tc>
      </w:tr>
      <w:tr w:rsidR="007B1756" w:rsidRPr="007B1756" w:rsidTr="007B1756">
        <w:trPr>
          <w:tblHeade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59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Величина</w:t>
            </w:r>
          </w:p>
        </w:tc>
      </w:tr>
      <w:tr w:rsidR="007B1756" w:rsidRPr="007B1756" w:rsidTr="007B1756">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Бюро похоронного обслуживания.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Дом траурных обрядов</w:t>
            </w:r>
          </w:p>
        </w:tc>
        <w:tc>
          <w:tcPr>
            <w:tcW w:w="169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город</w:t>
            </w:r>
          </w:p>
        </w:tc>
        <w:tc>
          <w:tcPr>
            <w:tcW w:w="159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Кладбища традиционного захоронения</w:t>
            </w:r>
          </w:p>
        </w:tc>
        <w:tc>
          <w:tcPr>
            <w:tcW w:w="169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га/1000 чел.</w:t>
            </w:r>
          </w:p>
        </w:tc>
        <w:tc>
          <w:tcPr>
            <w:tcW w:w="159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0,25</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2.28. Объекты сбора и вывоза бытовых отходов и мусора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 2.28.1.</w:t>
      </w:r>
    </w:p>
    <w:tbl>
      <w:tblPr>
        <w:tblW w:w="6225"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2970"/>
        <w:gridCol w:w="1815"/>
        <w:gridCol w:w="1440"/>
      </w:tblGrid>
      <w:tr w:rsidR="007B1756" w:rsidRPr="007B1756" w:rsidTr="007B1756">
        <w:trPr>
          <w:tblCellSpacing w:w="0" w:type="dxa"/>
        </w:trPr>
        <w:tc>
          <w:tcPr>
            <w:tcW w:w="2970" w:type="dxa"/>
            <w:vMerge w:val="restart"/>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Наименование объекта</w:t>
            </w:r>
          </w:p>
        </w:tc>
        <w:tc>
          <w:tcPr>
            <w:tcW w:w="3255" w:type="dxa"/>
            <w:gridSpan w:val="2"/>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Минимально допустимый уровень обеспеченности</w:t>
            </w:r>
          </w:p>
        </w:tc>
      </w:tr>
      <w:tr w:rsidR="007B1756" w:rsidRPr="007B1756" w:rsidTr="007B17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p>
        </w:tc>
        <w:tc>
          <w:tcPr>
            <w:tcW w:w="18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44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Величина</w:t>
            </w:r>
          </w:p>
        </w:tc>
      </w:tr>
      <w:tr w:rsidR="007B1756" w:rsidRPr="007B1756" w:rsidTr="007B1756">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Размещение урн для сбора мусора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малолюдных улицах</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на оживлённых</w:t>
            </w:r>
          </w:p>
        </w:tc>
        <w:tc>
          <w:tcPr>
            <w:tcW w:w="18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 более, м</w:t>
            </w:r>
          </w:p>
        </w:tc>
        <w:tc>
          <w:tcPr>
            <w:tcW w:w="144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100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40</w:t>
            </w:r>
          </w:p>
        </w:tc>
      </w:tr>
      <w:tr w:rsidR="007B1756" w:rsidRPr="007B1756" w:rsidTr="007B1756">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Вывоз мусора</w:t>
            </w:r>
          </w:p>
        </w:tc>
        <w:tc>
          <w:tcPr>
            <w:tcW w:w="181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периодичность, дней</w:t>
            </w:r>
          </w:p>
        </w:tc>
        <w:tc>
          <w:tcPr>
            <w:tcW w:w="144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ежедневно</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2.29. Инженерная подготовка и защита территорий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2.29.1.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3128"/>
        <w:gridCol w:w="3964"/>
        <w:gridCol w:w="2443"/>
      </w:tblGrid>
      <w:tr w:rsidR="007B1756" w:rsidRPr="007B1756" w:rsidTr="007B1756">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Показатель</w:t>
            </w:r>
          </w:p>
        </w:tc>
        <w:tc>
          <w:tcPr>
            <w:tcW w:w="41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Значение показателя</w:t>
            </w:r>
          </w:p>
        </w:tc>
      </w:tr>
      <w:tr w:rsidR="007B1756" w:rsidRPr="007B1756" w:rsidTr="007B1756">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 Отвод поверхностных вод</w:t>
            </w:r>
          </w:p>
        </w:tc>
        <w:tc>
          <w:tcPr>
            <w:tcW w:w="41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отношение протяжённости дождевой канализации к площади территории города, км/км</w:t>
            </w:r>
            <w:r w:rsidRPr="007B1756">
              <w:rPr>
                <w:rFonts w:ascii="Arial" w:eastAsia="Times New Roman" w:hAnsi="Arial" w:cs="Arial"/>
                <w:color w:val="000000"/>
                <w:sz w:val="18"/>
                <w:szCs w:val="18"/>
                <w:vertAlign w:val="superscript"/>
                <w:lang w:eastAsia="ru-RU"/>
              </w:rPr>
              <w:t>2</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0,425</w:t>
            </w:r>
          </w:p>
        </w:tc>
      </w:tr>
      <w:tr w:rsidR="007B1756" w:rsidRPr="007B1756" w:rsidTr="007B1756">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 Защита территории от затопления и подтопления</w:t>
            </w:r>
          </w:p>
        </w:tc>
        <w:tc>
          <w:tcPr>
            <w:tcW w:w="41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превышения бровки подсыпанной территории относительно уровня расчётного горизонта высоких вод, м</w:t>
            </w:r>
          </w:p>
        </w:tc>
        <w:tc>
          <w:tcPr>
            <w:tcW w:w="252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0,5</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2.30. Разрешенные параметры допустимых уровней воздействия на человека и условия проживания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2.30.1.</w:t>
      </w:r>
    </w:p>
    <w:tbl>
      <w:tblPr>
        <w:tblW w:w="8640"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2694"/>
        <w:gridCol w:w="1842"/>
        <w:gridCol w:w="1842"/>
        <w:gridCol w:w="2262"/>
      </w:tblGrid>
      <w:tr w:rsidR="007B1756" w:rsidRPr="007B1756" w:rsidTr="007B1756">
        <w:trPr>
          <w:tblHeade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Функциональная зона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Максимальный уровень звукового воздействия, дБА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Максимальный уровень загрязнения атмосферного воздуха (предельно допустимые концентрации, ПДК)</w:t>
            </w:r>
          </w:p>
        </w:tc>
        <w:tc>
          <w:tcPr>
            <w:tcW w:w="226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Максимальный уровень электромагнитного излучения от радиотехнических объектов</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(предельно допустимые уровни, ПДУ)</w:t>
            </w:r>
          </w:p>
        </w:tc>
      </w:tr>
      <w:tr w:rsidR="007B1756" w:rsidRPr="007B1756" w:rsidTr="007B1756">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Жилые зоны:</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Индивидуальная жилищная застройка</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Многоэтажная застройка</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Зоны здравоохранения: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Территории размещения лечебно-профилактических организаций длительного пребывания больных 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tc>
        <w:tc>
          <w:tcPr>
            <w:tcW w:w="184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0,8</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Производственные зоны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(нормируются по границе объединенной СЗЗ)</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70</w:t>
            </w:r>
          </w:p>
        </w:tc>
        <w:tc>
          <w:tcPr>
            <w:tcW w:w="184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Рекреационные</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зоны</w:t>
            </w:r>
          </w:p>
        </w:tc>
        <w:tc>
          <w:tcPr>
            <w:tcW w:w="184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60</w:t>
            </w:r>
          </w:p>
        </w:tc>
        <w:tc>
          <w:tcPr>
            <w:tcW w:w="184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0,8</w:t>
            </w:r>
          </w:p>
        </w:tc>
        <w:tc>
          <w:tcPr>
            <w:tcW w:w="2265" w:type="dxa"/>
            <w:tcBorders>
              <w:top w:val="outset" w:sz="6" w:space="0" w:color="auto"/>
              <w:left w:val="outset" w:sz="6" w:space="0" w:color="auto"/>
              <w:bottom w:val="outset" w:sz="6" w:space="0" w:color="auto"/>
              <w:right w:val="outset" w:sz="6" w:space="0" w:color="auto"/>
            </w:tcBorders>
            <w:shd w:val="clear" w:color="auto" w:fill="F3FBFA"/>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bl>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2.31. Объекты по обеспечению безопасности людей на водных объектах, охране их жизни и здоровья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Таблица 2.31.1.</w:t>
      </w:r>
    </w:p>
    <w:tbl>
      <w:tblPr>
        <w:tblW w:w="8640"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476"/>
        <w:gridCol w:w="2606"/>
        <w:gridCol w:w="1558"/>
      </w:tblGrid>
      <w:tr w:rsidR="007B1756" w:rsidRPr="007B1756" w:rsidTr="007B1756">
        <w:trPr>
          <w:tblHeade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Единица измерения</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Величина</w:t>
            </w:r>
          </w:p>
        </w:tc>
      </w:tr>
      <w:tr w:rsidR="007B1756" w:rsidRPr="007B1756" w:rsidTr="007B1756">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База для стоянок маломерных судов</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объектов на город</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Береговые и плавучие топливные станции для заправок маломерных судов</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то же</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Специализированные стоянки задержанных маломерных судов</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&gt;&gt; </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Пункт медицинского обслуживания</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объектов на один организованный пляж</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r w:rsidR="007B1756" w:rsidRPr="007B1756" w:rsidTr="007B1756">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Спасательная станция</w:t>
            </w:r>
          </w:p>
        </w:tc>
        <w:tc>
          <w:tcPr>
            <w:tcW w:w="261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то же</w:t>
            </w:r>
          </w:p>
        </w:tc>
        <w:tc>
          <w:tcPr>
            <w:tcW w:w="1560" w:type="dxa"/>
            <w:tcBorders>
              <w:top w:val="outset" w:sz="6" w:space="0" w:color="auto"/>
              <w:left w:val="outset" w:sz="6" w:space="0" w:color="auto"/>
              <w:bottom w:val="outset" w:sz="6" w:space="0" w:color="auto"/>
              <w:right w:val="outset" w:sz="6" w:space="0" w:color="auto"/>
            </w:tcBorders>
            <w:shd w:val="clear" w:color="auto" w:fill="F3FBFA"/>
            <w:vAlign w:val="center"/>
            <w:hideMark/>
          </w:tcPr>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1</w:t>
            </w:r>
          </w:p>
        </w:tc>
      </w:tr>
    </w:tbl>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 Материалы по обоснованию расчетных показателей,</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содержащихся в основной части нормативов градостроительного проектирования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Белореченского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 Плотность населения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Плотность населения определяется количеством жителей, приходящимся на единицу площади территории жилой зоны. Плотность населения определена с учётом приложения 5 СНиП 2.07.01-89* "Градостроительство. Планировка и застройка городских и сельских поселений", при среднем размере семьи равном трём человекам (по Иркутской области средний размер семьи равен 2,7). Общие размеры территорий в жилых зонах в расчете на 1000 человек определены пунктом 5.3 «СП 42.13330.2011. Свод правил. Градостроительство. Планировка и застройка городских и сельских поселений. Актуализированная редакция СНиП 2.07.01-89» (далее —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Ориентировочно необходимая общая территория микрорайона с индивидуальной жилой застройкой или блокированной определяется по формуле: площадь земельного участка плюс 0,07 га умноженное на количество земельных участков. Например, планируется застройка микрорайона, предназначенного для индивидуального жилищного строительства с пятьюдесятью земельными участками по 0,15 га каждый: (0,15 га+0,07 га)*50=11 га.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 Жилищная обеспеченность</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Норматив обеспеченности жильем в расчете на одного человека в Белореченском муниципальном образовании рассчитан с учетом достигнутого уровня средней жилищной обеспеченности, Постановления Правительства РФ от 17.12.2010 N 1050 (ред. от 18.10.2014) "О федеральной целевой программе "Жилище" на 2011–2015 годы", Распоряжения Правительства РФ от 17.11.2008 N 1662-р (ред. от 08.08.2009) &lt;О Концепции долгосрочного социально-экономического развития Российской Федерации на период до 2020 года&gt;, проекта схемы территориального планирования Иркутской области.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3.3. Плотность застройки жилых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Основными показателями плотности застройки являются: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застройки — отношение площади, занятой под зданиями и сооружениями, к площади застройки планировочного элемента (квартала, микрорайона);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коэффициент плотности застройки — отношение площади всех этажей зданий и сооружений к площади застройки планировочного элемента (квартала, микрорайона).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Чем выше коэффициенты, тем меньше объект капитального строительства обеспечен территорией для его последующей эксплуатации.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Правилами землепользования и застройки устанавливается максимальный процент застройки в данной территориальной зоне любого земельного участка (но не квартала или микрорайона).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3.4. Распределение жилищного строительства по видам жилой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Распределение жилищного строительства по видам жилой застройки определено с учётом генерального плана, комплексной программы социально-экономического развития муниципального образования.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3.5. Размеры земельных (приквартирных) участков, предоставляемых на территориях строительства и территориях реконструкции существующей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3.6. Объекты образовательных организаций)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образовательных организаций для постоянно проживающего населения Белореченского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3.7. Объекты услуг торговли, общественного питания, бытового обслуживания, связи, кредитно-финансовых организаций, гостиничных услуг</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обслуживания для постоянно проживающего населения Белореченского муниципального образования рассчитан согласно приложению Ж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3.8. Объекты здравоохранения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обслуживания для постоянно проживающего населения Белореченского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3.9. Объекты физической культуры и 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обслуживания для постоянно проживающего населения Белореченского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3.10. Объекты культурно-просветительских учреждений, культурно-досуговых организаций, искусства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обслуживания для постоянно проживающего населения Белореченского муниципального образования рассчитан согласно приложению Ж СП 42.13330.2011, 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3.11. Объекты, связанные с обеспечением организации мероприятий по работе с молодежью</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площади объектов, связанных с обеспечением организации мероприятий по работе с молодежью, рассчитан согласно приложению Ж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3.12. Объекты коммунально- бытового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Необходимый минимум объектов обслуживания для постоянно проживающего населения Белореченского муниципального образования рассчитан согласно приложению Ж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3.13. Максимально допустимый уровень территориальной доступности объектов общественного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Максимально допустимый уровень территориальной доступности объектов социального назначения определен согласно пункту 10.4 таблицы 5 СП 42.13330.2011; пункту 2.4 СанПиН 2.4.2.2821-10. Санитарно-</w:t>
      </w:r>
      <w:r w:rsidRPr="007B1756">
        <w:rPr>
          <w:rFonts w:ascii="Arial" w:eastAsia="Times New Roman" w:hAnsi="Arial" w:cs="Arial"/>
          <w:color w:val="000000"/>
          <w:sz w:val="18"/>
          <w:szCs w:val="18"/>
          <w:lang w:eastAsia="ru-RU"/>
        </w:rPr>
        <w:lastRenderedPageBreak/>
        <w:t>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3.14.Параметры застройки производственных и коммунальных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Параметры застройки производственных и коммунальных зон определены в соответствии с приложением Г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3.15. Гаражи и открытые стоянки для постоянного и временного хранения</w:t>
      </w:r>
      <w:r w:rsidRPr="007B1756">
        <w:rPr>
          <w:rFonts w:ascii="Arial" w:eastAsia="Times New Roman" w:hAnsi="Arial" w:cs="Arial"/>
          <w:color w:val="000000"/>
          <w:sz w:val="18"/>
          <w:szCs w:val="18"/>
          <w:lang w:eastAsia="ru-RU"/>
        </w:rPr>
        <w:br/>
        <w:t>индивидуальных легковых автомобилей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Показатель гаражей и открытых стоянок для постоянного и временного хранения индивидуальных легковых автомобилей определён в соответствии с пунктом 11.19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3.16. Парковочные места автомобилей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Учитывая приложение К СП 42.13330.2011. Для учреждений управления, кредитно-финансовые, правоохранительные учитывая пункт 6.31 СП 30-102-99. Планировка и застройка территорий малоэтажного жилищного строительства.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3.17. Плотность сети линий общественного пассажирского транспорта, уровень автомобилизации населения, пункты технического осмотра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Плотность сети линий наземного общественного пассажирского транспорта на застроенных территориях принимается в соответствии с пунктом 11.14 СП 42.13330.2011. Обеспеченность населения легковыми автомобилями и легковыми такси принимается, исходя из пункта 11.3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3.18. Озеленение территорий санитарных разрывов, отделяющих автомобильные и железные дороги от объектов жилой застройки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Процент площади озеленения линейных объектов, в отношении которых установлены санитарные разрывы, установлен, ссылаясь на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3.19. Дальность пешеходных подходов до ближайших остановок общественного пассажирского транспорта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Дальность пешеходных подходов до ближайшей остановки общественного пассажирского транспорта определена с учётом пункта 11.15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3.20. Расстояние между остановочными пунктами на линиях автомобильного общественного пассажирского транспорта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Расстояние между остановочными пунктами на линиях автомобильного общественного пассажирского транспорта определено с учётом пункта 11.16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3.21. Объекты инженерной инфраструктуры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Расчетные часовые расходы тепла жилых зданий строительства после 2015 г. определены согласно приложению В «СП 124.13330.2012. Тепловые сети». Расчетная температура наружного воздуха для проектирования отопления принята минус 35 °C согласно пункту 10.1 и таблице 3.1 «СП 131.13330.2012. Строительная климатология».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Показатели электропотребления приняты согласно приложению Н СП 42.13330.2011 с учетом коэффициента для малых городов и проекта региональных нормативов градостроительного проектирования.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был принят по таблице 1 «СП 31.13330.2012 Водоснабжение. Наружные сети и сооружения. Актуализированная редакция СНиП 2.04.02-84*».</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Нормы накопления твердых бытовых отходов приняты согласно приложению М СП 42.13330.2011 с учётом достигнутого в поселении уровнем благоустройства.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3.22. Площади земельных участков, используемых для  ведения садоводства, огородничества, дачного строительства, личного подсобного хозяйства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Площади земельных участков, используемых для  ведения садоводства, огородничества, дачного строительства, личного подсобного хозяйства определены с учётом Закона Иркутской области от 10.06.2014 № 65-ОЗ «О внесении изменений в Закон Иркутской области «О предельных размерах земельных участков, предоставляемых гражданам в собственность», решения Думы Усольского муниципального района об установлении предельных (минимальных и максимальных) размеров земельных участков, предоставляемых гражданам для индивидуального жилищного строительства и ведения личного подсобного хозяйства.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3.23. Площади территорий для размещения объектов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территории парков, садов и скверов принята, учитывая пункт 9.19 СП 42.13330.2011, 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 объектов.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3.24. Обеспеченность объектами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озелененных территорий общего пользования принята в соответствии с требованиями пункта 9.14 таблицы 4 СП 42.13330.2011.</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3.25. Площади озеленения территорий объектов рекреационного назначения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Площадь озеленения территорий объектов рекреационного назначения определен, исходя из СП 42.13330.2011 и генерального плана Белореченского муниципального образования, пляж: также пункт 2.4 ГОСТ 17.1.5.02-80. Государственный стандарт Союза ССР. Охрана природы. Гидросфера. Гигиенические требования к зонам рекреации водных объектов.</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3.26. Озеленение функциональных зон</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lastRenderedPageBreak/>
        <w:t>Нормативные требования к доле озелененных территорий общего и ограниченного пользования в общей площади территории приведены с учетом СП 42.13330.2011 и генерального плана Белореченского муниципального образования.</w:t>
      </w:r>
    </w:p>
    <w:p w:rsidR="007B1756" w:rsidRPr="007B1756" w:rsidRDefault="007B1756" w:rsidP="007B1756">
      <w:pPr>
        <w:spacing w:after="0" w:line="240" w:lineRule="auto"/>
        <w:jc w:val="center"/>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3.27. Объекты, предназначенные для организации ритуальных услуг. Места захоронения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Согласно приложению Ж СП 42.13330.2011 с учётом требований СанПиН 2.1.2882-11 "Гигиенические требования к размещению, устройству и содержанию кладбищ, зданий и сооружений похоронного назначения"; МДК 11-01.2002. Рекомендации о порядке похорон и содержании кладбищ в Российской Федерации: площадь зеленых насаждений должна составлять не менее 20 % площади кладбищ и крематориев; остановки общественного транспорта необходимо размещать не далее 150 м от входа на кладбище.</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3.28. Объекты сбора и вывоза бытовых отходов и мусора</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Согласно СанПиН 42-128-4690-88. Санитарные правила содержания территорий населенных мест.</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3.29. Инженерная подготовка и защита территорий</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Сооружения и мероприятия для защиты от затопления проектируются, учитывая требования СНиП 2.04.03-85 и СП 104.13330.2012.</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При защите территории от затопления подсыпкой отметку бровки берегового откоса территории следует определять в соответствии с требованиями п.3.11 СНиП 2.06.15-85.</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3.30. Разрешенные параметры допустимых уровней воздействия на человека</w:t>
      </w:r>
      <w:r w:rsidRPr="007B1756">
        <w:rPr>
          <w:rFonts w:ascii="Arial" w:eastAsia="Times New Roman" w:hAnsi="Arial" w:cs="Arial"/>
          <w:color w:val="000000"/>
          <w:sz w:val="18"/>
          <w:szCs w:val="18"/>
          <w:lang w:eastAsia="ru-RU"/>
        </w:rPr>
        <w:br/>
        <w:t>и условия проживания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Предельные значения допустимых уровней воздействия на среду и человека для различных функциональных зон, устанавливаются согласно следующих нормативно-правовым актам:</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максимальные уровни загрязнения атмосферного воздуха принимаются в соответствии с требованиями СанПиН 2.1.6.1032-01 «Гигиенические требования к обеспечению качества атмосферного воздуха населенных мест»;</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3.31. Объекты по обеспечению безопасности людей на водных объектах,</w:t>
      </w:r>
      <w:r w:rsidRPr="007B1756">
        <w:rPr>
          <w:rFonts w:ascii="Arial" w:eastAsia="Times New Roman" w:hAnsi="Arial" w:cs="Arial"/>
          <w:color w:val="000000"/>
          <w:sz w:val="18"/>
          <w:szCs w:val="18"/>
          <w:lang w:eastAsia="ru-RU"/>
        </w:rPr>
        <w:br/>
        <w:t>охране их жизни и здоровья</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В соответствии с проектом Федерального закона "О безопасности судоходства маломерных судов и о внесении изменений в отдельные законодательные акты Российской Федерации" (подготовлен МЧС России), подготовленного с учётом Решения Совета Евразийской экономической комиссии от 15.06.2012 N 33 "О принятии технического регламента Таможенного союза "О безопасности маломерных судов": маломерное судно - судно, длина которого не должна превышать двадцати метров и общее количество людей на котором не должно превышать двенадцать; база для стоянки маломерных судов -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для обеспечения стоянки, обслуживания и хранения маломерных судов; специализированная стоянка - специально отведенное охраняемое место хранения задержанных маломерных судов за установленные законом правонарушения на водных объектах.</w:t>
      </w:r>
    </w:p>
    <w:p w:rsidR="007B1756" w:rsidRPr="007B1756" w:rsidRDefault="007B1756" w:rsidP="007B1756">
      <w:pPr>
        <w:spacing w:after="0" w:line="240" w:lineRule="auto"/>
        <w:rPr>
          <w:rFonts w:ascii="Arial" w:eastAsia="Times New Roman" w:hAnsi="Arial" w:cs="Arial"/>
          <w:color w:val="000000"/>
          <w:sz w:val="18"/>
          <w:szCs w:val="18"/>
          <w:lang w:eastAsia="ru-RU"/>
        </w:rPr>
      </w:pPr>
      <w:r w:rsidRPr="007B1756">
        <w:rPr>
          <w:rFonts w:ascii="Arial" w:eastAsia="Times New Roman" w:hAnsi="Arial" w:cs="Arial"/>
          <w:color w:val="000000"/>
          <w:sz w:val="18"/>
          <w:szCs w:val="18"/>
          <w:lang w:eastAsia="ru-RU"/>
        </w:rPr>
        <w:t>Объекты пляжа (места массового отдыха) определены на основании Приказа Минрегиона России от 27.12.2011 N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E7BB6" w:rsidRDefault="007B1756" w:rsidP="007B1756"/>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56"/>
    <w:rsid w:val="00382A5F"/>
    <w:rsid w:val="007B1756"/>
    <w:rsid w:val="00B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1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7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756"/>
    <w:rPr>
      <w:b/>
      <w:bCs/>
    </w:rPr>
  </w:style>
  <w:style w:type="character" w:styleId="a5">
    <w:name w:val="Hyperlink"/>
    <w:basedOn w:val="a0"/>
    <w:uiPriority w:val="99"/>
    <w:semiHidden/>
    <w:unhideWhenUsed/>
    <w:rsid w:val="007B1756"/>
    <w:rPr>
      <w:color w:val="0000FF"/>
      <w:u w:val="single"/>
    </w:rPr>
  </w:style>
  <w:style w:type="character" w:styleId="a6">
    <w:name w:val="FollowedHyperlink"/>
    <w:basedOn w:val="a0"/>
    <w:uiPriority w:val="99"/>
    <w:semiHidden/>
    <w:unhideWhenUsed/>
    <w:rsid w:val="007B1756"/>
    <w:rPr>
      <w:color w:val="800080"/>
      <w:u w:val="single"/>
    </w:rPr>
  </w:style>
  <w:style w:type="paragraph" w:customStyle="1" w:styleId="style3">
    <w:name w:val="style3"/>
    <w:basedOn w:val="a"/>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1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1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7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756"/>
    <w:rPr>
      <w:b/>
      <w:bCs/>
    </w:rPr>
  </w:style>
  <w:style w:type="character" w:styleId="a5">
    <w:name w:val="Hyperlink"/>
    <w:basedOn w:val="a0"/>
    <w:uiPriority w:val="99"/>
    <w:semiHidden/>
    <w:unhideWhenUsed/>
    <w:rsid w:val="007B1756"/>
    <w:rPr>
      <w:color w:val="0000FF"/>
      <w:u w:val="single"/>
    </w:rPr>
  </w:style>
  <w:style w:type="character" w:styleId="a6">
    <w:name w:val="FollowedHyperlink"/>
    <w:basedOn w:val="a0"/>
    <w:uiPriority w:val="99"/>
    <w:semiHidden/>
    <w:unhideWhenUsed/>
    <w:rsid w:val="007B1756"/>
    <w:rPr>
      <w:color w:val="800080"/>
      <w:u w:val="single"/>
    </w:rPr>
  </w:style>
  <w:style w:type="paragraph" w:customStyle="1" w:styleId="style3">
    <w:name w:val="style3"/>
    <w:basedOn w:val="a"/>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B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1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7305">
      <w:bodyDiv w:val="1"/>
      <w:marLeft w:val="0"/>
      <w:marRight w:val="0"/>
      <w:marTop w:val="0"/>
      <w:marBottom w:val="0"/>
      <w:divBdr>
        <w:top w:val="none" w:sz="0" w:space="0" w:color="auto"/>
        <w:left w:val="none" w:sz="0" w:space="0" w:color="auto"/>
        <w:bottom w:val="none" w:sz="0" w:space="0" w:color="auto"/>
        <w:right w:val="none" w:sz="0" w:space="0" w:color="auto"/>
      </w:divBdr>
      <w:divsChild>
        <w:div w:id="34348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p-b.ru/uploads/images/24d70238d797c0d251d5e57b1e50bd7c.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6744</Words>
  <Characters>38445</Characters>
  <Application>Microsoft Office Word</Application>
  <DocSecurity>0</DocSecurity>
  <Lines>320</Lines>
  <Paragraphs>90</Paragraphs>
  <ScaleCrop>false</ScaleCrop>
  <Company/>
  <LinksUpToDate>false</LinksUpToDate>
  <CharactersWithSpaces>45099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2019-11-06T03:42:00Z</dcterms:created>
  <dcterms:modified xsi:type="dcterms:W3CDTF">2019-11-06T03:42:00Z</dcterms:modified>
</cp:coreProperties>
</file>