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A84" w:rsidRPr="00002A84" w:rsidRDefault="00002A84" w:rsidP="00002A84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</w:pPr>
      <w:r w:rsidRPr="00002A84"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  <w:t>САМАЯ АКТУАЛЬНАЯ ИНФОРМАЦИЯ О МЕРАХ ПОДДЕРЖКИ БИЗНЕСА В РЕГИОНЕ</w:t>
      </w:r>
    </w:p>
    <w:p w:rsidR="00046E31" w:rsidRDefault="00002A84" w:rsidP="000F29E8">
      <w:pPr>
        <w:jc w:val="center"/>
      </w:pPr>
      <w:r>
        <w:rPr>
          <w:noProof/>
          <w:lang w:eastAsia="ru-RU"/>
        </w:rPr>
        <w:drawing>
          <wp:inline distT="0" distB="0" distL="0" distR="0" wp14:anchorId="3C11309F" wp14:editId="2F99F101">
            <wp:extent cx="3721211" cy="2096028"/>
            <wp:effectExtent l="0" t="0" r="0" b="0"/>
            <wp:docPr id="1" name="Рисунок 1" descr="https://irkobl.ru/sites/economy/socio-economic/competition/%D1%81%D0%BA%D1%80%D0%B8%D0%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rkobl.ru/sites/economy/socio-economic/competition/%D1%81%D0%BA%D1%80%D0%B8%D0%B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526" cy="210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A84" w:rsidRPr="00002A84" w:rsidRDefault="00002A84" w:rsidP="000F29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2A8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МАЛЫЙ И СРЕДНИЙ БИЗНЕС</w:t>
      </w:r>
    </w:p>
    <w:p w:rsidR="00002A84" w:rsidRPr="00002A84" w:rsidRDefault="00002A84" w:rsidP="00002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Согласно принятому 8 марта Федеральному закону № 46-ФЗ «О внесении изменений в отдельные законодательные акты Российской Федерации»:</w:t>
      </w:r>
    </w:p>
    <w:p w:rsidR="00002A84" w:rsidRPr="00002A84" w:rsidRDefault="00002A84" w:rsidP="00002A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Продлены </w:t>
      </w:r>
      <w:r w:rsidRPr="00002A8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сроки действия лицензий</w:t>
      </w: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 иных видов разрешительных документов, упрощена процедура получения и переоформления разрешительных документов (постановление Правительства Российской Федерации от 12 марта 2022 г. № 353).</w:t>
      </w:r>
    </w:p>
    <w:p w:rsidR="00002A84" w:rsidRPr="00002A84" w:rsidRDefault="00002A84" w:rsidP="00002A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 конца 2022 года введен </w:t>
      </w:r>
      <w:r w:rsidRPr="00002A8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мораторий на проведение контрольных (надзорных) мероприятий</w:t>
      </w: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кроме тех, которые связаны с угрозой жизни и здоровья людей (постановление Правительства Российской Федерации от 10 марта 2022 г. № 336).</w:t>
      </w:r>
    </w:p>
    <w:p w:rsidR="00002A84" w:rsidRPr="00002A84" w:rsidRDefault="00002A84" w:rsidP="00002A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2 года планируется </w:t>
      </w:r>
      <w:r w:rsidRPr="00002A8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отсрочка введения маркировки продукции</w:t>
      </w: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расширенной ответственности производителей и т.п. По маркировке по отдельным товарам также планируется мораторий на привлечение к ответственности.</w:t>
      </w:r>
    </w:p>
    <w:p w:rsidR="00002A84" w:rsidRPr="00002A84" w:rsidRDefault="00002A84" w:rsidP="00002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Комплекс мер по снижению налоговой нагрузки</w:t>
      </w:r>
    </w:p>
    <w:p w:rsidR="00002A84" w:rsidRPr="00002A84" w:rsidRDefault="00002A84" w:rsidP="00002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Государственной Думе на рассмотрении в третьем чтении находится проект федерального закона № 84984-8 «О внесении изменений в пункт 4 статьи 75 части первой и часть вторую Налогового кодекса Российской Федерации». Принятие законопроекта позволит:</w:t>
      </w:r>
    </w:p>
    <w:p w:rsidR="00002A84" w:rsidRPr="00002A84" w:rsidRDefault="00002A84" w:rsidP="00002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1) </w:t>
      </w:r>
      <w:r w:rsidRPr="00002A8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Снизить в два раза размер пени</w:t>
      </w: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(до 1/300 ставки ЦБ), начисляемой организациям после 31 дня просрочки уплаты налогов.</w:t>
      </w:r>
    </w:p>
    <w:p w:rsidR="00002A84" w:rsidRPr="00002A84" w:rsidRDefault="00002A84" w:rsidP="00002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Установить </w:t>
      </w:r>
      <w:r w:rsidRPr="00002A8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нулевую ставку НДС</w:t>
      </w: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 отношении гостиничных услуг.</w:t>
      </w:r>
    </w:p>
    <w:p w:rsidR="00002A84" w:rsidRPr="00002A84" w:rsidRDefault="00002A84" w:rsidP="00002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3) </w:t>
      </w:r>
      <w:r w:rsidRPr="00002A8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Освободить от НДФЛ</w:t>
      </w: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выгоду, полученную в 2022-2023 гг. от экономии на процентах </w:t>
      </w:r>
      <w:r w:rsidRPr="00002A8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 пользование заемными средствами</w:t>
      </w: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а также процентов, полученных в 2021-2022 годах по вкладам (остаткам на счетах) в банках. </w:t>
      </w:r>
      <w:r w:rsidRPr="00002A8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Освободить от НДФЛ доходы в виде ценных бумаг</w:t>
      </w: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российских организаций, полученных в 2022 г. от иностранных организации, в отношении которых налогоплательщик является контролирующим лицом.</w:t>
      </w:r>
    </w:p>
    <w:p w:rsidR="00002A84" w:rsidRPr="00002A84" w:rsidRDefault="00002A84" w:rsidP="00002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4) </w:t>
      </w:r>
      <w:r w:rsidRPr="00002A8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Освободить от налога на прибыль</w:t>
      </w: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доход в виде прекращенных в 2022 г. обязательств по договору займа (кредита), заключенного с иностранной организацией, принимающей решение о прощении долга.</w:t>
      </w:r>
    </w:p>
    <w:p w:rsidR="00002A84" w:rsidRPr="00002A84" w:rsidRDefault="00002A84" w:rsidP="00002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5) Предусмотреть</w:t>
      </w:r>
      <w:r w:rsidRPr="00002A8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корректировку порядка учета курсовых разниц при определении налоговой базы </w:t>
      </w: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налогу на прибыль организаций, а также фиксацию курса рубля на 01.02.2022 для расчета «тонкой капитализации».</w:t>
      </w:r>
    </w:p>
    <w:p w:rsidR="00002A84" w:rsidRPr="00002A84" w:rsidRDefault="00002A84" w:rsidP="00002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6) Предоставить права перехода в течение 2022 г. на уплату </w:t>
      </w:r>
      <w:r w:rsidRPr="00002A8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ежемесячных авансовых платежей</w:t>
      </w: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по налогу на прибыль </w:t>
      </w:r>
      <w:r w:rsidRPr="00002A8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исходя из фактической прибыли</w:t>
      </w: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002A84" w:rsidRPr="00002A84" w:rsidRDefault="00002A84" w:rsidP="00002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7) Установить </w:t>
      </w:r>
      <w:r w:rsidRPr="00002A8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нулевую ставку по налогу на прибыль</w:t>
      </w: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подлежащего зачислению в федеральный бюджет, </w:t>
      </w:r>
      <w:r w:rsidRPr="00002A8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для IT-организаций</w:t>
      </w: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на 2022 – 2024 годы.</w:t>
      </w:r>
    </w:p>
    <w:p w:rsidR="00002A84" w:rsidRPr="00002A84" w:rsidRDefault="00002A84" w:rsidP="00002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8) </w:t>
      </w:r>
      <w:r w:rsidRPr="00002A8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Упразднить повышающие коэффициенты к ставкам транспортного налога,</w:t>
      </w: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применяемых для транспортных средств стоимостью ниже 10 млн. рублей.</w:t>
      </w:r>
    </w:p>
    <w:p w:rsidR="00002A84" w:rsidRPr="00002A84" w:rsidRDefault="00002A84" w:rsidP="00002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9) </w:t>
      </w:r>
      <w:r w:rsidRPr="00002A8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Зафиксировать кадастровую стоимость недвижимого имущества</w:t>
      </w: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применяемую для определения налога на имущество организаций за 2023 год на уровне 01.01.2022.</w:t>
      </w:r>
    </w:p>
    <w:p w:rsidR="00002A84" w:rsidRPr="00002A84" w:rsidRDefault="00002A84" w:rsidP="00002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10) </w:t>
      </w:r>
      <w:r w:rsidRPr="00002A8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Освободить от НДС операции по реализации банками драгоценных металлов</w:t>
      </w: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 слитках физическим лицам (Федеральный закон от 9 марта 2022 года № 47-ФЗ «О внесении изменений в часть вторую Налогового кодекса Российской Федерации»).</w:t>
      </w:r>
    </w:p>
    <w:p w:rsidR="00002A84" w:rsidRPr="00002A84" w:rsidRDefault="00002A84" w:rsidP="00002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Государственной Думе на рассмотрении в третьем чтении находится законопроект, предусматривающий внесение изменений в КОАП (№ 42172-8). Принятие законопроекта позволит:</w:t>
      </w:r>
    </w:p>
    <w:p w:rsidR="00002A84" w:rsidRPr="00002A84" w:rsidRDefault="00002A84" w:rsidP="00002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11) выносить субъектам МСП </w:t>
      </w:r>
      <w:r w:rsidRPr="00002A8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предупреждение вместо штрафа</w:t>
      </w: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за первое нарушение без угрозы или причинения вреда;</w:t>
      </w:r>
    </w:p>
    <w:p w:rsidR="00002A84" w:rsidRPr="00002A84" w:rsidRDefault="00002A84" w:rsidP="00002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12) </w:t>
      </w:r>
      <w:r w:rsidRPr="00002A8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снизить размер штрафов</w:t>
      </w: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для микро и малых субъектов МСП до уровня штрафов, действующих для ИП;</w:t>
      </w:r>
    </w:p>
    <w:p w:rsidR="00002A84" w:rsidRPr="00002A84" w:rsidRDefault="00002A84" w:rsidP="00002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13) </w:t>
      </w:r>
      <w:r w:rsidRPr="00002A8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не привлекать к ответственности юридических лиц</w:t>
      </w: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за нарушения, которые совершил только работник;</w:t>
      </w:r>
    </w:p>
    <w:p w:rsidR="00002A84" w:rsidRPr="00002A84" w:rsidRDefault="00002A84" w:rsidP="00002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14) выносить </w:t>
      </w:r>
      <w:r w:rsidRPr="00002A8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только один протокол об административных правонарушениях</w:t>
      </w: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даже если в ходе проверки было выявлено несколько нарушений.</w:t>
      </w:r>
    </w:p>
    <w:p w:rsidR="00002A84" w:rsidRPr="00002A84" w:rsidRDefault="00002A84" w:rsidP="00002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Для повышения доступности кредитных ресурсов субъекты МСП имеют право на:</w:t>
      </w:r>
    </w:p>
    <w:p w:rsidR="00002A84" w:rsidRPr="00002A84" w:rsidRDefault="00002A84" w:rsidP="00002A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02A8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кредитные</w:t>
      </w:r>
      <w:proofErr w:type="gramEnd"/>
      <w:r w:rsidRPr="00002A8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каникулы</w:t>
      </w: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предусматривающие отсрочку погашения суммы основного долга и уплаты процентов по кредитам (Федеральный закон от 8 марта 2022 г. № 46-ФЗ «О внесении изменений в отдельные законодательные акты Российской Федерации»).</w:t>
      </w:r>
    </w:p>
    <w:p w:rsidR="00002A84" w:rsidRPr="00002A84" w:rsidRDefault="00002A84" w:rsidP="00002A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Максимальный срок «кредитных каникул» – 6 месяцев. Для их получения субъект МСП должен работать в одной из отраслей, определенных постановлением Правительства РФ от 10 марта 2022 г. № 337. В числе утвержденных отраслей – сельское хозяйство, наука, культура, туризм, общественное питания, медицина, информационные технологии (в том числе производство компьютеров и разработка ПО), розничная торговля, а также обрабатывающие производства, включая производство продуктов питания, одежды, мебели, бытовой химии.</w:t>
      </w:r>
    </w:p>
    <w:p w:rsidR="00002A84" w:rsidRPr="00002A84" w:rsidRDefault="00002A84" w:rsidP="00002A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02A8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льготное</w:t>
      </w:r>
      <w:proofErr w:type="gramEnd"/>
      <w:r w:rsidRPr="00002A8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фондирование Банка России</w:t>
      </w: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Оно позволит банкам выдать кредиты малому и среднему бизнесу на оборотные цели по ставке до 15 % годовых на срок до 1 года в объеме не менее 340 млрд рублей.</w:t>
      </w:r>
    </w:p>
    <w:p w:rsidR="00002A84" w:rsidRPr="00002A84" w:rsidRDefault="00002A84" w:rsidP="00002A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proofErr w:type="gramStart"/>
      <w:r w:rsidRPr="00002A8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инвесткредиты</w:t>
      </w:r>
      <w:proofErr w:type="spellEnd"/>
      <w:proofErr w:type="gramEnd"/>
      <w:r w:rsidRPr="00002A8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по ставке до 15 % годовых</w:t>
      </w: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на срок до 3 лет предпринимателям, которые будут запускать </w:t>
      </w:r>
      <w:proofErr w:type="spellStart"/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инвестпроекты</w:t>
      </w:r>
      <w:proofErr w:type="spellEnd"/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в том числе в рамках </w:t>
      </w:r>
      <w:proofErr w:type="spellStart"/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импортозамещения</w:t>
      </w:r>
      <w:proofErr w:type="spellEnd"/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а также рефинансирование кредитов, ранее полученных заемщиками, уже начавшими реализацию инвестиционных проектов (ПСК - программа стимулирования кредитования </w:t>
      </w:r>
      <w:hyperlink r:id="rId6" w:history="1">
        <w:r w:rsidRPr="00002A84">
          <w:rPr>
            <w:rFonts w:ascii="Arial" w:eastAsia="Times New Roman" w:hAnsi="Arial" w:cs="Arial"/>
            <w:color w:val="002971"/>
            <w:sz w:val="27"/>
            <w:szCs w:val="27"/>
            <w:u w:val="single"/>
            <w:lang w:eastAsia="ru-RU"/>
          </w:rPr>
          <w:t>Корпорации МСП</w:t>
        </w:r>
      </w:hyperlink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 Банка России объемом около 160 млрд рублей).</w:t>
      </w:r>
    </w:p>
    <w:p w:rsidR="00002A84" w:rsidRPr="00002A84" w:rsidRDefault="00002A84" w:rsidP="00002A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02A8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льготное</w:t>
      </w:r>
      <w:proofErr w:type="gramEnd"/>
      <w:r w:rsidRPr="00002A8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кредитование</w:t>
      </w: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 рамках национального проекта МСП (1764). В период установления повышенной ключевой ставки программа ориентирована на кредиты на оборотные цели на срок до 1 года, которые можно будет получить в 100 уполномоченных банках по ставке не более 15%. Также по программе можно будет получить кредиты на инвестиционные цели на срок до 5 лет по ставке до 15 % (общий объем программы - 300 млрд рублей).</w:t>
      </w:r>
    </w:p>
    <w:p w:rsidR="00002A84" w:rsidRPr="00002A84" w:rsidRDefault="00002A84" w:rsidP="00002A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02A8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увеличение</w:t>
      </w:r>
      <w:proofErr w:type="gramEnd"/>
      <w:r w:rsidRPr="00002A8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предельного уровня риска, который Корпорация МСП принимает на себя </w:t>
      </w: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 предпринимателей в рамках «зонтичного» механизма поручительств до 10% от лимита поручительств (с текущих 4,5%).</w:t>
      </w:r>
    </w:p>
    <w:p w:rsidR="00002A84" w:rsidRPr="00002A84" w:rsidRDefault="00002A84" w:rsidP="000F29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2A8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ОТРАСЛЕВЫЕ МЕРЫ ПОДДЕРЖКИ</w:t>
      </w:r>
    </w:p>
    <w:p w:rsidR="00002A84" w:rsidRPr="00002A84" w:rsidRDefault="00002A84" w:rsidP="00002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</w:t>
      </w:r>
      <w:proofErr w:type="gramEnd"/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сферах транспорта, информационных технологий, инноваций, туризма, сельского хозяйства, строительства и ЖКХ (с акцентом на </w:t>
      </w:r>
      <w:proofErr w:type="spellStart"/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импортозамещение</w:t>
      </w:r>
      <w:proofErr w:type="spellEnd"/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002A84" w:rsidRPr="00002A84" w:rsidRDefault="00002A84" w:rsidP="00002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 Расширены программы льготного кредитования Корпорации МСП для поддержки проектов по </w:t>
      </w:r>
      <w:proofErr w:type="spellStart"/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импортозамещению</w:t>
      </w:r>
      <w:proofErr w:type="spellEnd"/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002A84" w:rsidRPr="00002A84" w:rsidRDefault="00002A84" w:rsidP="00002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Готовится механизм по ускоренному возмещению НДС.</w:t>
      </w:r>
    </w:p>
    <w:p w:rsidR="00002A84" w:rsidRPr="00002A84" w:rsidRDefault="00002A84" w:rsidP="00002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2A8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Агропромышленный комплекс:</w:t>
      </w:r>
    </w:p>
    <w:p w:rsidR="00002A84" w:rsidRPr="00002A84" w:rsidRDefault="00002A84" w:rsidP="00002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· Расширена программа льготного кредитования Корпорации МСП и лизинга в АПК для недопущения срыва посевной кампании.</w:t>
      </w:r>
    </w:p>
    <w:p w:rsidR="00002A84" w:rsidRPr="00002A84" w:rsidRDefault="00002A84" w:rsidP="00002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· Сельхозпроизводители смогут на полгода перенести свои платежи по основному долгу по льготным инвестиционным кредитам, и еще на год пролонгировать краткосрочные займы.</w:t>
      </w:r>
    </w:p>
    <w:p w:rsidR="00002A84" w:rsidRPr="00002A84" w:rsidRDefault="00002A84" w:rsidP="00002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2A8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Транспорт:</w:t>
      </w:r>
    </w:p>
    <w:p w:rsidR="00002A84" w:rsidRPr="00002A84" w:rsidRDefault="00002A84" w:rsidP="00002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· Готовится к запуску программа поддержки авиаперевозчиков для сохранения парка иностранных самолетов.</w:t>
      </w:r>
    </w:p>
    <w:p w:rsidR="00002A84" w:rsidRPr="00002A84" w:rsidRDefault="00002A84" w:rsidP="00002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· Готовится субсидирование грузовых и пассажирских перевозок, осуществляемых всеми видами транспорта.</w:t>
      </w:r>
    </w:p>
    <w:p w:rsidR="00002A84" w:rsidRPr="00002A84" w:rsidRDefault="00002A84" w:rsidP="00002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2A8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Строительство:</w:t>
      </w:r>
    </w:p>
    <w:p w:rsidR="00002A84" w:rsidRPr="00002A84" w:rsidRDefault="00002A84" w:rsidP="00002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· Упрощены процедуры разработки градостроительной документации и проведения публичных слушаний по ней, а также регистрации прав на построенные объекты.</w:t>
      </w:r>
    </w:p>
    <w:p w:rsidR="00002A84" w:rsidRPr="00002A84" w:rsidRDefault="00002A84" w:rsidP="00002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· Ускорен процесс предоставление земельных участков в пользование.</w:t>
      </w:r>
    </w:p>
    <w:p w:rsidR="00002A84" w:rsidRPr="00002A84" w:rsidRDefault="00002A84" w:rsidP="00002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· Введена возможность предоставления строителям займов за счет средств компенсационных фондов СРО.</w:t>
      </w:r>
    </w:p>
    <w:p w:rsidR="00002A84" w:rsidRPr="00002A84" w:rsidRDefault="00002A84" w:rsidP="00002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· Устанавливаются особенности применения договоров долевого строительства жилья в 2022 году</w:t>
      </w:r>
    </w:p>
    <w:p w:rsidR="00002A84" w:rsidRPr="00002A84" w:rsidRDefault="00002A84" w:rsidP="00002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2A8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IT:</w:t>
      </w:r>
    </w:p>
    <w:p w:rsidR="00002A84" w:rsidRPr="00002A84" w:rsidRDefault="00002A84" w:rsidP="00002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· Корпорацией МСП выдаются льготные кредиты по ставке 3% годовых.</w:t>
      </w:r>
    </w:p>
    <w:p w:rsidR="00002A84" w:rsidRPr="00002A84" w:rsidRDefault="00002A84" w:rsidP="00002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· Обнулены ставки по налогу на прибыль.</w:t>
      </w:r>
    </w:p>
    <w:p w:rsidR="00002A84" w:rsidRPr="00002A84" w:rsidRDefault="00002A84" w:rsidP="00002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· Предусмотрена </w:t>
      </w:r>
      <w:proofErr w:type="spellStart"/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грантовая</w:t>
      </w:r>
      <w:proofErr w:type="spellEnd"/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поддержка.</w:t>
      </w:r>
    </w:p>
    <w:p w:rsidR="00002A84" w:rsidRPr="00002A84" w:rsidRDefault="00002A84" w:rsidP="00002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· Освобождаются от всех проверок контрольными органами.</w:t>
      </w:r>
    </w:p>
    <w:p w:rsidR="00002A84" w:rsidRPr="00002A84" w:rsidRDefault="00002A84" w:rsidP="00002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2A8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Высокотехнологичный сектор:</w:t>
      </w:r>
    </w:p>
    <w:p w:rsidR="00002A84" w:rsidRPr="00002A84" w:rsidRDefault="00002A84" w:rsidP="00002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Предусмотрена </w:t>
      </w:r>
      <w:proofErr w:type="spellStart"/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грантовая</w:t>
      </w:r>
      <w:proofErr w:type="spellEnd"/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поддержка и льготное кредитование Корпорацией МСП технологических компаний для обеспечения создания сложной технологической продукции.</w:t>
      </w:r>
    </w:p>
    <w:p w:rsidR="00002A84" w:rsidRPr="00002A84" w:rsidRDefault="00002A84" w:rsidP="00002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2A8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Промышленные предприятия:</w:t>
      </w:r>
    </w:p>
    <w:p w:rsidR="00002A84" w:rsidRPr="00002A84" w:rsidRDefault="00002A84" w:rsidP="00002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Минпромторг</w:t>
      </w:r>
      <w:proofErr w:type="spellEnd"/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РФ актуализирует перечень системообразующих организаций российской экономики, </w:t>
      </w:r>
      <w:r w:rsidRPr="00002A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</w:t>
      </w: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торые могут получать кредиты на пополнение оборотных средства под 10% годовых, освобождены от ряда проверок и получают оперативную организационную поддержку федерального центра. </w:t>
      </w:r>
      <w:hyperlink r:id="rId7" w:history="1">
        <w:r w:rsidRPr="00002A84">
          <w:rPr>
            <w:rFonts w:ascii="Arial" w:eastAsia="Times New Roman" w:hAnsi="Arial" w:cs="Arial"/>
            <w:color w:val="002971"/>
            <w:sz w:val="27"/>
            <w:szCs w:val="27"/>
            <w:u w:val="single"/>
            <w:lang w:eastAsia="ru-RU"/>
          </w:rPr>
          <w:t>Читать условия включения в перечень </w:t>
        </w:r>
      </w:hyperlink>
      <w:hyperlink r:id="rId8" w:anchor="0005120706884" w:history="1">
        <w:r w:rsidRPr="00002A84">
          <w:rPr>
            <w:rFonts w:ascii="Arial" w:eastAsia="Times New Roman" w:hAnsi="Arial" w:cs="Arial"/>
            <w:color w:val="002971"/>
            <w:sz w:val="36"/>
            <w:szCs w:val="36"/>
            <w:u w:val="single"/>
            <w:lang w:eastAsia="ru-RU"/>
          </w:rPr>
          <w:t>системообразующих организаций российской экономики.</w:t>
        </w:r>
      </w:hyperlink>
    </w:p>
    <w:p w:rsidR="00002A84" w:rsidRPr="00002A84" w:rsidRDefault="00002A84" w:rsidP="000F29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2A8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ОБЩИЕ МЕРЫ ПОДДЕРЖКИ</w:t>
      </w:r>
    </w:p>
    <w:p w:rsidR="00002A84" w:rsidRPr="00002A84" w:rsidRDefault="00002A84" w:rsidP="00002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Для российских и импортных товаров упростили процедуру получения сертификатов соответствия техническому регламенту Таможенного союза. Временно сертификацию заменили на декларирование, осуществляемое в упрощенном порядке самими предприятиями. Истекающие в этом году сертификаты продлены еще на полгода.</w:t>
      </w:r>
    </w:p>
    <w:p w:rsidR="00002A84" w:rsidRPr="00002A84" w:rsidRDefault="00002A84" w:rsidP="00002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2. Введен запрет на возврат (реэкспорт) ранее ввезенного оборудования, комплектующих, </w:t>
      </w:r>
      <w:proofErr w:type="spellStart"/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медизделий</w:t>
      </w:r>
      <w:proofErr w:type="spellEnd"/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из стран, присоединившиеся к </w:t>
      </w:r>
      <w:proofErr w:type="spellStart"/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санкционным</w:t>
      </w:r>
      <w:proofErr w:type="spellEnd"/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ограничениям (в ключевых секторах экономики – транспорт, сельское хозяйство, цифровые технологии, разработка недр, промышленность).</w:t>
      </w:r>
    </w:p>
    <w:p w:rsidR="00002A84" w:rsidRPr="00002A84" w:rsidRDefault="00002A84" w:rsidP="00002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3. Снижены ввозные таможенные пошлины на товары, производство и торговля которыми имеют социально-экономическое значение для устойчивого развития агропромышленного комплекса и сельской местности государств. В первый пакет предложений вошли 270 позиций: </w:t>
      </w:r>
      <w:proofErr w:type="spellStart"/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сельхозтовары</w:t>
      </w:r>
      <w:proofErr w:type="spellEnd"/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оборудование, комплектующие, отдельные виды химической продукции.</w:t>
      </w:r>
    </w:p>
    <w:p w:rsidR="00002A84" w:rsidRPr="00002A84" w:rsidRDefault="00002A84" w:rsidP="00002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Ускорена процедура регистрации российских медицинских изделий в случаях замены иностранных комплектующих.</w:t>
      </w:r>
    </w:p>
    <w:p w:rsidR="00002A84" w:rsidRPr="00002A84" w:rsidRDefault="00002A84" w:rsidP="00002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5. Снижена стоимость логистики: приостановлен весовой контроль транспортных средств, осуществляющих перевозку товаров первой необходимости; введены субсидии на грузовые и пассажирские перевозки, осуществляемых всеми видами транспорта (не понятно, кто их выдает и как получить); организовано приоритетное обеспечение перевозки социально-значимых товаров, в том числе продукции для производственной деятельности (тоже не понятно, как получить эту меру поддержки).</w:t>
      </w:r>
    </w:p>
    <w:p w:rsidR="00002A84" w:rsidRPr="00002A84" w:rsidRDefault="00002A84" w:rsidP="00002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6. Легализация параллельного импорта путем освобождения ответственности лиц, ввозящих и реализующих товары, включенные в </w:t>
      </w:r>
      <w:proofErr w:type="spellStart"/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спец.перечень</w:t>
      </w:r>
      <w:proofErr w:type="spellEnd"/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Правительства, временное приостановление (до 6 месяцев) таможенных проверок.</w:t>
      </w:r>
    </w:p>
    <w:p w:rsidR="00002A84" w:rsidRPr="00002A84" w:rsidRDefault="00002A84" w:rsidP="00002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 Импортерам разрешено представлять при ввозе бумажные или электронные копии сертификатов о происхождении товаров вместо оригиналов (при ввозе преференциальных товаров по нулевым или пониженным пошлинам и товаров, по которым взимаются антидемпинговые пошлины).</w:t>
      </w:r>
    </w:p>
    <w:p w:rsidR="00002A84" w:rsidRPr="00002A84" w:rsidRDefault="00002A84" w:rsidP="00002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 Снижены расходы на выполнение таможенных формальностей (рассрочки и отсрочки импортерам по уплате таможенных пошлин, освобождение от обеспечения по уплате пошлин).</w:t>
      </w:r>
    </w:p>
    <w:p w:rsidR="00002A84" w:rsidRPr="00002A84" w:rsidRDefault="00002A84" w:rsidP="00002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 Сняты фитосанитарные ветеринарные ограничения на ввоз социально значимой сельхозпродукции из стран СНГ и ЕАЭС.</w:t>
      </w:r>
    </w:p>
    <w:p w:rsidR="00002A84" w:rsidRPr="00002A84" w:rsidRDefault="00002A84" w:rsidP="00002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 Разрешен ввоз многокомпонентного товара в рамках нескольких внешнеэкономических сделок.</w:t>
      </w:r>
    </w:p>
    <w:p w:rsidR="00002A84" w:rsidRPr="00002A84" w:rsidRDefault="00002A84" w:rsidP="00002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11. В 2022 году регионы имеют право направлять средства, высвобождаемые в результате реструктуризации бюджетных кредитов, на реализацию региональных проектов.</w:t>
      </w:r>
    </w:p>
    <w:p w:rsidR="00002A84" w:rsidRDefault="00002A84" w:rsidP="00002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12. Упрощены процедуры в части государственных закупок (44-ФЗ) и закупок компаний с государственным участием (223-ФЗ): упрощена процедура определения единственных поставщиков, </w:t>
      </w:r>
      <w:proofErr w:type="spellStart"/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нераскрытие</w:t>
      </w:r>
      <w:proofErr w:type="spellEnd"/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информации о торгах и </w:t>
      </w:r>
      <w:proofErr w:type="spellStart"/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непубличность</w:t>
      </w:r>
      <w:proofErr w:type="spellEnd"/>
      <w:r w:rsidRPr="00002A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процедур закупок, возможность авансирования контрактов, упрощение процедуры казначейского сопровождения, возможность неприменения штрафных санкций по контрактам, а также процедуры ускоренного расторжения контрактов.</w:t>
      </w:r>
    </w:p>
    <w:p w:rsidR="000F29E8" w:rsidRDefault="000F29E8" w:rsidP="000F29E8">
      <w:pPr>
        <w:pStyle w:val="a4"/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 рамках «Второго пакета» прорабатываются следующие меры поддержки:</w:t>
      </w:r>
      <w:bookmarkStart w:id="0" w:name="_GoBack"/>
      <w:bookmarkEnd w:id="0"/>
    </w:p>
    <w:p w:rsidR="000F29E8" w:rsidRDefault="000F29E8" w:rsidP="000F29E8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1. Предоставление отсрочки по выплате процентов и по возврату основного долга по кредитам в рамках программы ФОТ 3.0 на срок 6 месяцев.</w:t>
      </w:r>
    </w:p>
    <w:p w:rsidR="000F29E8" w:rsidRDefault="000F29E8" w:rsidP="000F29E8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2. В целях обеспечения непрерывности оказания поддержки государственными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микрофинансовыми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региональными гарантийными организациями срок разделения таких организаций, действующих в настоящее время на базе одного юридического лица, предлагается перенести на 1 год (до 1 июля 2023 года).</w:t>
      </w:r>
    </w:p>
    <w:p w:rsidR="000F29E8" w:rsidRDefault="000F29E8" w:rsidP="000F29E8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 xml:space="preserve">3. Услуги по размещению на электронных торговых площадках дополнены услугами по размещению на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маркетплейсах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уточнен перечень таких услуг, в том числе связанных с хранением и доставкой, при реализации продукции (товаров, работ, услуг) в рамках оказания услуг Центрами «Мой бизнес».</w:t>
      </w:r>
    </w:p>
    <w:p w:rsidR="000F29E8" w:rsidRDefault="000F29E8" w:rsidP="000F29E8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4. Предоставление грантов субъектам МСП, созданным физическими лицами в возрасте до 25 лет включительно для поддержки молодых предпринимателей до 500 тысяч рублей.</w:t>
      </w:r>
    </w:p>
    <w:p w:rsidR="000F29E8" w:rsidRPr="00002A84" w:rsidRDefault="000F29E8" w:rsidP="000F29E8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5. Готовится новая услуга Центра поддержки экспорта </w:t>
      </w:r>
      <w:hyperlink r:id="rId9" w:history="1">
        <w:r>
          <w:rPr>
            <w:rStyle w:val="a5"/>
            <w:rFonts w:ascii="Arial" w:hAnsi="Arial" w:cs="Arial"/>
            <w:color w:val="002971"/>
            <w:sz w:val="23"/>
            <w:szCs w:val="23"/>
          </w:rPr>
          <w:t>Центра «Мой бизнес»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 по содействию субъектам МСП в транспортировке продукции для экспорта. Предлагается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софинансирование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затрат, связанных с осуществлением транспортировки продукции по территории РФ в пределах 500 тысяч руб. на одного субъекта МСП и не более 5 млн рублей на статью сметы.</w:t>
      </w:r>
    </w:p>
    <w:p w:rsidR="000F29E8" w:rsidRPr="000F29E8" w:rsidRDefault="000F29E8" w:rsidP="000F29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29E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РЕГИОНАЛЬНЫЕ МЕРЫ ПОДДЕРЖКИ</w:t>
      </w:r>
    </w:p>
    <w:p w:rsidR="000F29E8" w:rsidRPr="000F29E8" w:rsidRDefault="000F29E8" w:rsidP="000F29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29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«Заморожена» ставка </w:t>
      </w:r>
      <w:hyperlink r:id="rId10" w:history="1">
        <w:r w:rsidRPr="000F29E8">
          <w:rPr>
            <w:rFonts w:ascii="Arial" w:eastAsia="Times New Roman" w:hAnsi="Arial" w:cs="Arial"/>
            <w:color w:val="002971"/>
            <w:sz w:val="27"/>
            <w:szCs w:val="27"/>
            <w:u w:val="single"/>
            <w:lang w:eastAsia="ru-RU"/>
          </w:rPr>
          <w:t>Фонда микрокредитования Иркутской области</w:t>
        </w:r>
      </w:hyperlink>
      <w:r w:rsidRPr="000F29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для малого бизнеса на уровне 5,5% годовых</w:t>
      </w:r>
    </w:p>
    <w:p w:rsidR="000F29E8" w:rsidRPr="000F29E8" w:rsidRDefault="000F29E8" w:rsidP="000F29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0F29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Докапитализированы</w:t>
      </w:r>
      <w:proofErr w:type="spellEnd"/>
      <w:r w:rsidRPr="000F29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Фонд микрокредитования и </w:t>
      </w:r>
      <w:hyperlink r:id="rId11" w:history="1">
        <w:r w:rsidRPr="000F29E8">
          <w:rPr>
            <w:rFonts w:ascii="Arial" w:eastAsia="Times New Roman" w:hAnsi="Arial" w:cs="Arial"/>
            <w:color w:val="002971"/>
            <w:sz w:val="23"/>
            <w:szCs w:val="23"/>
            <w:u w:val="single"/>
            <w:lang w:eastAsia="ru-RU"/>
          </w:rPr>
          <w:t>Фонд развития промышленности Иркутской области</w:t>
        </w:r>
      </w:hyperlink>
    </w:p>
    <w:p w:rsidR="000F29E8" w:rsidRPr="000F29E8" w:rsidRDefault="000F29E8" w:rsidP="000F29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29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Приняты правки в закон Иркутской области о предоставлении земельных участков в аренду без торгов под инвестиционные проекты</w:t>
      </w:r>
    </w:p>
    <w:p w:rsidR="000F29E8" w:rsidRPr="000F29E8" w:rsidRDefault="000F29E8" w:rsidP="000F29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29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Готовится закон Иркутской области о предоставлении льготы по УСН для пострадавших отраслей (общепит, фитнес-центры, кинотеатры, развлекательная индустрия и др.)</w:t>
      </w:r>
    </w:p>
    <w:p w:rsidR="000F29E8" w:rsidRPr="000F29E8" w:rsidRDefault="000F29E8" w:rsidP="000F29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29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Утверждён новый кредитный продукт Корпорации развития Иркутской области, предусматривающий финансирование проектов технического перевооружения предприятий под 10% годовых</w:t>
      </w:r>
    </w:p>
    <w:p w:rsidR="000F29E8" w:rsidRPr="000F29E8" w:rsidRDefault="000F29E8" w:rsidP="000F29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29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«Заморожена» арендная ставка по земельным участкам в ОЭЗ «Ворота Байкала»</w:t>
      </w:r>
    </w:p>
    <w:p w:rsidR="00002A84" w:rsidRPr="00002A84" w:rsidRDefault="00002A84" w:rsidP="00002A84">
      <w:pPr>
        <w:jc w:val="center"/>
      </w:pPr>
    </w:p>
    <w:sectPr w:rsidR="00002A84" w:rsidRPr="00002A84" w:rsidSect="000F29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D752C"/>
    <w:multiLevelType w:val="multilevel"/>
    <w:tmpl w:val="DE50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C068A"/>
    <w:multiLevelType w:val="multilevel"/>
    <w:tmpl w:val="15B0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290DE1"/>
    <w:multiLevelType w:val="multilevel"/>
    <w:tmpl w:val="55EE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31"/>
    <w:rsid w:val="00002A84"/>
    <w:rsid w:val="00046E31"/>
    <w:rsid w:val="00073755"/>
    <w:rsid w:val="000B7DD5"/>
    <w:rsid w:val="000F29E8"/>
    <w:rsid w:val="00104419"/>
    <w:rsid w:val="006F6CD2"/>
    <w:rsid w:val="007B6E20"/>
    <w:rsid w:val="00AC4A62"/>
    <w:rsid w:val="00B05399"/>
    <w:rsid w:val="00B9372B"/>
    <w:rsid w:val="00BF0807"/>
    <w:rsid w:val="00CB29A3"/>
    <w:rsid w:val="00CE3635"/>
    <w:rsid w:val="00FC3723"/>
    <w:rsid w:val="00F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41436-4F28-4BF5-916A-2F477132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F2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F29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kobl.ru/sites/economy/small_business/anticrisi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rkobl.ru/sites/economy/industry/index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pmsp.ru/bankam/programma_stimulir/" TargetMode="External"/><Relationship Id="rId11" Type="http://schemas.openxmlformats.org/officeDocument/2006/relationships/hyperlink" Target="https://frpirk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mfoir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b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Валерьевна Жилкина</cp:lastModifiedBy>
  <cp:revision>2</cp:revision>
  <dcterms:created xsi:type="dcterms:W3CDTF">2022-04-20T08:45:00Z</dcterms:created>
  <dcterms:modified xsi:type="dcterms:W3CDTF">2022-04-20T08:45:00Z</dcterms:modified>
</cp:coreProperties>
</file>